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1"/>
        <w:tblW w:w="0" w:type="auto"/>
        <w:jc w:val="center"/>
        <w:tblLook w:val="04A0" w:firstRow="1" w:lastRow="0" w:firstColumn="1" w:lastColumn="0" w:noHBand="0" w:noVBand="1"/>
      </w:tblPr>
      <w:tblGrid>
        <w:gridCol w:w="1255"/>
        <w:gridCol w:w="7807"/>
      </w:tblGrid>
      <w:tr w:rsidR="00372C6B" w:rsidRPr="007C02F3" w14:paraId="7F2F94C1" w14:textId="77777777" w:rsidTr="457E293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672A6659" w14:textId="77777777" w:rsidR="00372C6B" w:rsidRPr="007C02F3" w:rsidRDefault="00372C6B" w:rsidP="00E52F7C">
            <w:pPr>
              <w:rPr>
                <w:rFonts w:ascii="Trebuchet MS" w:hAnsi="Trebuchet MS"/>
                <w:szCs w:val="24"/>
              </w:rPr>
            </w:pPr>
            <w:r w:rsidRPr="007C02F3">
              <w:rPr>
                <w:rFonts w:ascii="Trebuchet MS" w:hAnsi="Trebuchet MS"/>
                <w:noProof/>
                <w:szCs w:val="24"/>
                <w:lang w:val="bg-BG"/>
              </w:rPr>
              <w:drawing>
                <wp:inline distT="0" distB="0" distL="0" distR="0" wp14:anchorId="57E881B4" wp14:editId="0DC4B15B">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7B4ED18D" w14:textId="77777777" w:rsidR="00372C6B" w:rsidRPr="007C02F3" w:rsidRDefault="457E2931" w:rsidP="457E293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Община Русе</w:t>
            </w:r>
          </w:p>
        </w:tc>
      </w:tr>
      <w:tr w:rsidR="00372C6B" w:rsidRPr="007C02F3" w14:paraId="5C46838C" w14:textId="77777777" w:rsidTr="457E29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0A37501D" w14:textId="77777777" w:rsidR="00372C6B" w:rsidRPr="007C02F3" w:rsidRDefault="00372C6B" w:rsidP="00E52F7C">
            <w:pPr>
              <w:rPr>
                <w:rFonts w:ascii="Trebuchet MS" w:hAnsi="Trebuchet MS"/>
                <w:szCs w:val="24"/>
              </w:rPr>
            </w:pPr>
          </w:p>
        </w:tc>
        <w:tc>
          <w:tcPr>
            <w:tcW w:w="7807" w:type="dxa"/>
            <w:tcBorders>
              <w:left w:val="single" w:sz="4" w:space="0" w:color="auto"/>
            </w:tcBorders>
          </w:tcPr>
          <w:p w14:paraId="1A275DBC" w14:textId="77777777" w:rsidR="00372C6B" w:rsidRPr="007C02F3"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Адрес</w:t>
            </w:r>
            <w:r w:rsidRPr="007C02F3">
              <w:rPr>
                <w:rFonts w:ascii="Trebuchet MS" w:hAnsi="Trebuchet MS"/>
                <w:szCs w:val="24"/>
                <w:lang w:val="ru-RU"/>
              </w:rPr>
              <w:t xml:space="preserve">: </w:t>
            </w:r>
            <w:r w:rsidRPr="007C02F3">
              <w:rPr>
                <w:rFonts w:ascii="Trebuchet MS" w:hAnsi="Trebuchet MS"/>
                <w:szCs w:val="24"/>
                <w:lang w:val="bg-BG"/>
              </w:rPr>
              <w:t>пл. „Свобода“ 6</w:t>
            </w:r>
            <w:r w:rsidRPr="007C02F3">
              <w:rPr>
                <w:rFonts w:ascii="Trebuchet MS" w:hAnsi="Trebuchet MS"/>
                <w:szCs w:val="24"/>
                <w:lang w:val="ru-RU"/>
              </w:rPr>
              <w:t xml:space="preserve">, </w:t>
            </w:r>
            <w:r w:rsidRPr="007C02F3">
              <w:rPr>
                <w:rFonts w:ascii="Trebuchet MS" w:hAnsi="Trebuchet MS"/>
                <w:szCs w:val="24"/>
                <w:lang w:val="bg-BG"/>
              </w:rPr>
              <w:t>Русе 7000</w:t>
            </w:r>
            <w:r w:rsidRPr="007C02F3">
              <w:rPr>
                <w:rFonts w:ascii="Trebuchet MS" w:hAnsi="Trebuchet MS"/>
                <w:szCs w:val="24"/>
                <w:lang w:val="ru-RU"/>
              </w:rPr>
              <w:t xml:space="preserve">, </w:t>
            </w:r>
            <w:r w:rsidRPr="007C02F3">
              <w:rPr>
                <w:rFonts w:ascii="Trebuchet MS" w:hAnsi="Trebuchet MS"/>
                <w:szCs w:val="24"/>
                <w:lang w:val="bg-BG"/>
              </w:rPr>
              <w:t>България</w:t>
            </w:r>
          </w:p>
        </w:tc>
      </w:tr>
      <w:tr w:rsidR="00372C6B" w:rsidRPr="007C02F3" w14:paraId="6BAE21AE" w14:textId="77777777" w:rsidTr="457E2931">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DAB6C7B" w14:textId="77777777" w:rsidR="00372C6B" w:rsidRPr="007C02F3" w:rsidRDefault="00372C6B" w:rsidP="00E52F7C">
            <w:pPr>
              <w:rPr>
                <w:rFonts w:ascii="Trebuchet MS" w:hAnsi="Trebuchet MS"/>
                <w:szCs w:val="24"/>
                <w:lang w:val="ru-RU"/>
              </w:rPr>
            </w:pPr>
          </w:p>
        </w:tc>
        <w:tc>
          <w:tcPr>
            <w:tcW w:w="7807" w:type="dxa"/>
            <w:tcBorders>
              <w:left w:val="single" w:sz="4" w:space="0" w:color="auto"/>
            </w:tcBorders>
          </w:tcPr>
          <w:p w14:paraId="159A8468" w14:textId="77777777" w:rsidR="00372C6B" w:rsidRPr="007C02F3" w:rsidRDefault="457E2931" w:rsidP="457E2931">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Тел</w:t>
            </w:r>
            <w:r w:rsidRPr="007C02F3">
              <w:rPr>
                <w:rFonts w:ascii="Trebuchet MS" w:hAnsi="Trebuchet MS"/>
                <w:szCs w:val="24"/>
              </w:rPr>
              <w:t>:</w:t>
            </w:r>
            <w:r w:rsidRPr="007C02F3">
              <w:rPr>
                <w:rFonts w:ascii="Trebuchet MS" w:hAnsi="Trebuchet MS"/>
                <w:szCs w:val="24"/>
                <w:lang w:val="en-US"/>
              </w:rPr>
              <w:t xml:space="preserve"> </w:t>
            </w:r>
            <w:r w:rsidRPr="007C02F3">
              <w:rPr>
                <w:rFonts w:ascii="Trebuchet MS" w:hAnsi="Trebuchet MS"/>
                <w:szCs w:val="24"/>
              </w:rPr>
              <w:t>+359 82 881 802;</w:t>
            </w:r>
            <w:r w:rsidRPr="007C02F3">
              <w:rPr>
                <w:rFonts w:ascii="Trebuchet MS" w:hAnsi="Trebuchet MS"/>
                <w:szCs w:val="24"/>
                <w:lang w:val="en-US"/>
              </w:rPr>
              <w:t xml:space="preserve"> </w:t>
            </w:r>
            <w:r w:rsidRPr="007C02F3">
              <w:rPr>
                <w:rFonts w:ascii="Trebuchet MS" w:hAnsi="Trebuchet MS"/>
                <w:szCs w:val="24"/>
                <w:lang w:val="bg-BG"/>
              </w:rPr>
              <w:t>Факс</w:t>
            </w:r>
            <w:r w:rsidRPr="007C02F3">
              <w:rPr>
                <w:rFonts w:ascii="Trebuchet MS" w:hAnsi="Trebuchet MS"/>
                <w:szCs w:val="24"/>
              </w:rPr>
              <w:t>: +359 82 834 413</w:t>
            </w:r>
          </w:p>
        </w:tc>
      </w:tr>
      <w:tr w:rsidR="00372C6B" w:rsidRPr="007C02F3" w14:paraId="191D3A3B" w14:textId="77777777" w:rsidTr="457E2931">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2EB378F" w14:textId="77777777" w:rsidR="00372C6B" w:rsidRPr="007C02F3" w:rsidRDefault="00372C6B" w:rsidP="00E52F7C">
            <w:pPr>
              <w:rPr>
                <w:rFonts w:ascii="Trebuchet MS" w:hAnsi="Trebuchet MS"/>
                <w:szCs w:val="24"/>
              </w:rPr>
            </w:pPr>
          </w:p>
        </w:tc>
        <w:tc>
          <w:tcPr>
            <w:tcW w:w="7807" w:type="dxa"/>
            <w:tcBorders>
              <w:left w:val="single" w:sz="4" w:space="0" w:color="auto"/>
              <w:bottom w:val="single" w:sz="4" w:space="0" w:color="auto"/>
            </w:tcBorders>
          </w:tcPr>
          <w:p w14:paraId="563A53B5" w14:textId="77777777" w:rsidR="00372C6B" w:rsidRPr="007C02F3"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24"/>
                <w:lang w:val="bg-BG"/>
              </w:rPr>
            </w:pPr>
            <w:r w:rsidRPr="007C02F3">
              <w:rPr>
                <w:rFonts w:ascii="Trebuchet MS" w:hAnsi="Trebuchet MS"/>
                <w:szCs w:val="24"/>
                <w:lang w:val="bg-BG"/>
              </w:rPr>
              <w:t>Електронна поща</w:t>
            </w:r>
            <w:r w:rsidRPr="007C02F3">
              <w:rPr>
                <w:rFonts w:ascii="Trebuchet MS" w:hAnsi="Trebuchet MS"/>
                <w:szCs w:val="24"/>
                <w:lang w:val="ru-RU"/>
              </w:rPr>
              <w:t xml:space="preserve">: </w:t>
            </w:r>
            <w:r w:rsidRPr="007C02F3">
              <w:rPr>
                <w:rFonts w:ascii="Trebuchet MS" w:hAnsi="Trebuchet MS"/>
                <w:szCs w:val="24"/>
                <w:lang w:val="en-US"/>
              </w:rPr>
              <w:t>mayor</w:t>
            </w:r>
            <w:r w:rsidRPr="007C02F3">
              <w:rPr>
                <w:rFonts w:ascii="Trebuchet MS" w:hAnsi="Trebuchet MS"/>
                <w:szCs w:val="24"/>
                <w:lang w:val="ru-RU"/>
              </w:rPr>
              <w:t>@</w:t>
            </w:r>
            <w:r w:rsidRPr="007C02F3">
              <w:rPr>
                <w:rFonts w:ascii="Trebuchet MS" w:hAnsi="Trebuchet MS"/>
                <w:szCs w:val="24"/>
                <w:lang w:val="en-US"/>
              </w:rPr>
              <w:t>ruse</w:t>
            </w:r>
            <w:r w:rsidRPr="007C02F3">
              <w:rPr>
                <w:rFonts w:ascii="Trebuchet MS" w:hAnsi="Trebuchet MS"/>
                <w:szCs w:val="24"/>
                <w:lang w:val="ru-RU"/>
              </w:rPr>
              <w:t>-</w:t>
            </w:r>
            <w:r w:rsidRPr="007C02F3">
              <w:rPr>
                <w:rFonts w:ascii="Trebuchet MS" w:hAnsi="Trebuchet MS"/>
                <w:szCs w:val="24"/>
                <w:lang w:val="en-US"/>
              </w:rPr>
              <w:t>bg</w:t>
            </w:r>
            <w:r w:rsidRPr="007C02F3">
              <w:rPr>
                <w:rFonts w:ascii="Trebuchet MS" w:hAnsi="Trebuchet MS"/>
                <w:szCs w:val="24"/>
                <w:lang w:val="ru-RU"/>
              </w:rPr>
              <w:t>.</w:t>
            </w:r>
            <w:r w:rsidRPr="007C02F3">
              <w:rPr>
                <w:rFonts w:ascii="Trebuchet MS" w:hAnsi="Trebuchet MS"/>
                <w:szCs w:val="24"/>
                <w:lang w:val="en-US"/>
              </w:rPr>
              <w:t>eu</w:t>
            </w:r>
          </w:p>
        </w:tc>
      </w:tr>
    </w:tbl>
    <w:p w14:paraId="0CA37CEE" w14:textId="77777777" w:rsidR="0011409F" w:rsidRPr="00A07CA0" w:rsidRDefault="0011409F" w:rsidP="003F0F82">
      <w:pPr>
        <w:shd w:val="clear" w:color="auto" w:fill="FFFFFF"/>
        <w:spacing w:line="276" w:lineRule="auto"/>
        <w:ind w:left="6952" w:firstLine="128"/>
        <w:rPr>
          <w:rFonts w:ascii="Cambria" w:hAnsi="Cambria"/>
          <w:color w:val="000000"/>
          <w:szCs w:val="24"/>
          <w:lang w:val="bg-BG"/>
        </w:rPr>
      </w:pPr>
      <w:r w:rsidRPr="00A07CA0">
        <w:rPr>
          <w:rFonts w:ascii="Cambria" w:hAnsi="Cambria"/>
          <w:color w:val="000000"/>
          <w:szCs w:val="24"/>
          <w:lang w:val="bg-BG"/>
        </w:rPr>
        <w:t>ПРИЛОЖЕНИЕ Б</w:t>
      </w:r>
    </w:p>
    <w:p w14:paraId="03C1BF98" w14:textId="77777777" w:rsidR="007C02F3" w:rsidRPr="00A07CA0" w:rsidRDefault="007C02F3" w:rsidP="003F0F82">
      <w:pPr>
        <w:shd w:val="clear" w:color="auto" w:fill="FFFFFF"/>
        <w:spacing w:line="276" w:lineRule="auto"/>
        <w:ind w:left="6952" w:firstLine="128"/>
        <w:rPr>
          <w:rFonts w:ascii="Cambria" w:hAnsi="Cambria"/>
          <w:color w:val="000000"/>
          <w:szCs w:val="24"/>
          <w:lang w:val="bg-BG"/>
        </w:rPr>
      </w:pPr>
    </w:p>
    <w:p w14:paraId="3ADFE244" w14:textId="39F81F73" w:rsidR="007C02F3" w:rsidRPr="000B4605" w:rsidRDefault="007C02F3" w:rsidP="007C02F3">
      <w:pPr>
        <w:shd w:val="clear" w:color="auto" w:fill="FFFFFF"/>
        <w:spacing w:line="276" w:lineRule="auto"/>
        <w:ind w:left="1416" w:firstLine="708"/>
        <w:rPr>
          <w:rFonts w:ascii="Cambria" w:hAnsi="Cambria"/>
          <w:b/>
          <w:color w:val="000000"/>
          <w:szCs w:val="24"/>
          <w:u w:val="single"/>
          <w:lang w:val="bg-BG"/>
        </w:rPr>
      </w:pPr>
      <w:r w:rsidRPr="000B4605">
        <w:rPr>
          <w:rFonts w:ascii="Cambria" w:hAnsi="Cambria"/>
          <w:b/>
          <w:color w:val="000000"/>
          <w:szCs w:val="24"/>
          <w:u w:val="single"/>
          <w:lang w:val="bg-BG"/>
        </w:rPr>
        <w:t xml:space="preserve">МЕТОДИКА ЗА ОЦЕНКА НА ОФЕРТИТЕ </w:t>
      </w:r>
    </w:p>
    <w:p w14:paraId="7EDB42F5" w14:textId="77777777" w:rsidR="007C02F3" w:rsidRPr="000B4605" w:rsidRDefault="007C02F3" w:rsidP="007C02F3">
      <w:pPr>
        <w:shd w:val="clear" w:color="auto" w:fill="FFFFFF"/>
        <w:spacing w:line="276" w:lineRule="auto"/>
        <w:ind w:left="1416" w:firstLine="708"/>
        <w:rPr>
          <w:rFonts w:ascii="Cambria" w:hAnsi="Cambria"/>
          <w:color w:val="000000"/>
          <w:szCs w:val="24"/>
          <w:lang w:val="bg-BG"/>
        </w:rPr>
      </w:pPr>
    </w:p>
    <w:p w14:paraId="061A815A" w14:textId="77777777" w:rsidR="007C02F3" w:rsidRPr="000B4605" w:rsidRDefault="007C02F3" w:rsidP="007C02F3">
      <w:pPr>
        <w:tabs>
          <w:tab w:val="left" w:pos="426"/>
        </w:tabs>
        <w:ind w:firstLine="621"/>
        <w:jc w:val="both"/>
        <w:rPr>
          <w:rFonts w:ascii="Cambria" w:eastAsia="Arial Unicode MS" w:hAnsi="Cambria"/>
          <w:color w:val="000000"/>
          <w:szCs w:val="24"/>
          <w:lang w:val="bg-BG" w:bidi="bg-BG"/>
        </w:rPr>
      </w:pPr>
      <w:r w:rsidRPr="000B4605">
        <w:rPr>
          <w:rFonts w:ascii="Cambria" w:eastAsia="Arial Unicode MS" w:hAnsi="Cambria"/>
          <w:color w:val="000000"/>
          <w:szCs w:val="24"/>
          <w:lang w:val="bg-BG" w:bidi="bg-BG"/>
        </w:rPr>
        <w:t>Критерият за оценка на допуснатите до оценка и класиране оферти „ОПТИМАЛНО СЪОТНОШЕНИЕ КАЧЕСТВО ЦЕНА”.</w:t>
      </w:r>
    </w:p>
    <w:p w14:paraId="53E1730E"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 xml:space="preserve">Оценяването и класирането на офертите на участниците се възлага въз основата на икономически най–изгодна оферта, въз основа на критерия, посочен в чл. </w:t>
      </w:r>
      <w:proofErr w:type="gramStart"/>
      <w:r w:rsidRPr="000B4605">
        <w:rPr>
          <w:rFonts w:ascii="Cambria" w:hAnsi="Cambria"/>
          <w:szCs w:val="24"/>
        </w:rPr>
        <w:t>70</w:t>
      </w:r>
      <w:proofErr w:type="gramEnd"/>
      <w:r w:rsidRPr="000B4605">
        <w:rPr>
          <w:rFonts w:ascii="Cambria" w:hAnsi="Cambria"/>
          <w:szCs w:val="24"/>
        </w:rPr>
        <w:t xml:space="preserve">, ал. 2, т. 3 от ЗОП – преценка за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 както е описано по-долу. </w:t>
      </w:r>
    </w:p>
    <w:p w14:paraId="0B07D3A1"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14:paraId="464E8CCC" w14:textId="77777777" w:rsidR="00DC4F46" w:rsidRPr="000B4605" w:rsidRDefault="00DC4F46" w:rsidP="00DE619C">
      <w:pPr>
        <w:tabs>
          <w:tab w:val="left" w:pos="993"/>
          <w:tab w:val="left" w:pos="10040"/>
        </w:tabs>
        <w:ind w:right="-25" w:firstLine="567"/>
        <w:jc w:val="both"/>
        <w:rPr>
          <w:rFonts w:ascii="Cambria" w:hAnsi="Cambria"/>
          <w:strike/>
          <w:szCs w:val="24"/>
        </w:rPr>
      </w:pPr>
      <w:r w:rsidRPr="000B4605">
        <w:rPr>
          <w:rFonts w:ascii="Cambria" w:hAnsi="Cambria"/>
          <w:szCs w:val="24"/>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и критерии за подбор. </w:t>
      </w:r>
    </w:p>
    <w:p w14:paraId="4E7C489F"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14:paraId="10FAE5CA"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044E2AB0"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1. по-ниска предложена цена;</w:t>
      </w:r>
    </w:p>
    <w:p w14:paraId="45C84D2C"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2. по-изгодно предложение за размера на разходите, сравнени в низходящ ред съобразно тяхната тежест;</w:t>
      </w:r>
    </w:p>
    <w:p w14:paraId="30456368"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3. по-изгодно предложение по показатели, извън посочените по т. 1 и 2, сравнени в низходящ ред съобразно тяхната тежест.</w:t>
      </w:r>
    </w:p>
    <w:p w14:paraId="71035F20"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14:paraId="2965405E" w14:textId="77777777" w:rsidR="00DC4F46" w:rsidRPr="000B4605" w:rsidRDefault="00DC4F46" w:rsidP="00DE619C">
      <w:pPr>
        <w:keepNext/>
        <w:tabs>
          <w:tab w:val="left" w:pos="993"/>
          <w:tab w:val="left" w:pos="10040"/>
        </w:tabs>
        <w:ind w:right="-25" w:firstLine="567"/>
        <w:jc w:val="both"/>
        <w:outlineLvl w:val="0"/>
        <w:rPr>
          <w:rFonts w:ascii="Cambria" w:hAnsi="Cambria"/>
          <w:b/>
          <w:bCs/>
          <w:szCs w:val="24"/>
          <w:highlight w:val="yellow"/>
        </w:rPr>
      </w:pPr>
      <w:bookmarkStart w:id="0" w:name="_Toc464826128"/>
    </w:p>
    <w:p w14:paraId="2C6325CC" w14:textId="77777777" w:rsidR="00DC4F46" w:rsidRPr="000B4605" w:rsidRDefault="00DC4F46" w:rsidP="00DE619C">
      <w:pPr>
        <w:keepNext/>
        <w:widowControl w:val="0"/>
        <w:numPr>
          <w:ilvl w:val="0"/>
          <w:numId w:val="9"/>
        </w:numPr>
        <w:tabs>
          <w:tab w:val="left" w:pos="993"/>
          <w:tab w:val="left" w:pos="10040"/>
        </w:tabs>
        <w:ind w:right="-25"/>
        <w:jc w:val="both"/>
        <w:outlineLvl w:val="0"/>
        <w:rPr>
          <w:rFonts w:ascii="Cambria" w:hAnsi="Cambria"/>
          <w:b/>
          <w:bCs/>
          <w:szCs w:val="24"/>
        </w:rPr>
      </w:pPr>
      <w:bookmarkStart w:id="1" w:name="_Toc500768988"/>
      <w:r w:rsidRPr="000B4605">
        <w:rPr>
          <w:rFonts w:ascii="Cambria" w:hAnsi="Cambria"/>
          <w:b/>
          <w:bCs/>
          <w:szCs w:val="24"/>
        </w:rPr>
        <w:t>Комплексна оценка</w:t>
      </w:r>
      <w:bookmarkEnd w:id="0"/>
      <w:r w:rsidRPr="000B4605">
        <w:rPr>
          <w:rFonts w:ascii="Cambria" w:hAnsi="Cambria"/>
          <w:b/>
          <w:bCs/>
          <w:szCs w:val="24"/>
        </w:rPr>
        <w:t>:</w:t>
      </w:r>
      <w:bookmarkEnd w:id="1"/>
    </w:p>
    <w:p w14:paraId="72ADE02B"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14:paraId="137DC264" w14:textId="77777777" w:rsidR="00DC4F46" w:rsidRPr="000B4605" w:rsidRDefault="00DC4F46" w:rsidP="00DE619C">
      <w:pPr>
        <w:tabs>
          <w:tab w:val="left" w:pos="993"/>
          <w:tab w:val="left" w:pos="10040"/>
        </w:tabs>
        <w:ind w:right="-25" w:firstLine="567"/>
        <w:jc w:val="both"/>
        <w:rPr>
          <w:rFonts w:ascii="Cambria" w:hAnsi="Cambria"/>
          <w:szCs w:val="24"/>
        </w:rPr>
      </w:pPr>
    </w:p>
    <w:p w14:paraId="5A97380A" w14:textId="77777777" w:rsidR="00DC4F46" w:rsidRPr="000B4605" w:rsidRDefault="00DC4F46" w:rsidP="00DE619C">
      <w:pPr>
        <w:tabs>
          <w:tab w:val="left" w:pos="993"/>
          <w:tab w:val="left" w:pos="10040"/>
        </w:tabs>
        <w:ind w:right="-25" w:firstLine="567"/>
        <w:rPr>
          <w:rFonts w:ascii="Cambria" w:hAnsi="Cambria"/>
          <w:szCs w:val="24"/>
        </w:rPr>
      </w:pPr>
      <w:r w:rsidRPr="000B4605">
        <w:rPr>
          <w:rFonts w:ascii="Cambria" w:hAnsi="Cambria"/>
          <w:b/>
          <w:szCs w:val="24"/>
        </w:rPr>
        <w:t>КО = (50% x ЦП) + (50% x ТП)</w:t>
      </w:r>
      <w:r w:rsidRPr="000B4605">
        <w:rPr>
          <w:rFonts w:ascii="Cambria" w:hAnsi="Cambria"/>
          <w:szCs w:val="24"/>
        </w:rPr>
        <w:t>, където:</w:t>
      </w:r>
    </w:p>
    <w:p w14:paraId="764DBCEF" w14:textId="77777777" w:rsidR="00DC4F46" w:rsidRPr="000B4605" w:rsidRDefault="00DC4F46" w:rsidP="00DE619C">
      <w:pPr>
        <w:tabs>
          <w:tab w:val="left" w:pos="993"/>
          <w:tab w:val="left" w:pos="10040"/>
        </w:tabs>
        <w:ind w:right="-25" w:firstLine="567"/>
        <w:rPr>
          <w:rFonts w:ascii="Cambria" w:hAnsi="Cambria"/>
          <w:b/>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1984"/>
      </w:tblGrid>
      <w:tr w:rsidR="00DC4F46" w:rsidRPr="000B4605" w14:paraId="203102D5" w14:textId="77777777" w:rsidTr="00F802E9">
        <w:tc>
          <w:tcPr>
            <w:tcW w:w="4395" w:type="dxa"/>
            <w:shd w:val="clear" w:color="auto" w:fill="AEAAAA"/>
          </w:tcPr>
          <w:p w14:paraId="1F560CD8" w14:textId="77777777" w:rsidR="00DC4F46" w:rsidRPr="000B4605" w:rsidRDefault="00DC4F46" w:rsidP="00DE619C">
            <w:pPr>
              <w:tabs>
                <w:tab w:val="left" w:pos="993"/>
                <w:tab w:val="left" w:pos="10040"/>
              </w:tabs>
              <w:ind w:right="-25" w:firstLine="567"/>
              <w:rPr>
                <w:rFonts w:ascii="Cambria" w:hAnsi="Cambria"/>
                <w:b/>
                <w:i/>
                <w:iCs/>
                <w:szCs w:val="24"/>
              </w:rPr>
            </w:pPr>
            <w:r w:rsidRPr="000B4605">
              <w:rPr>
                <w:rFonts w:ascii="Cambria" w:hAnsi="Cambria"/>
                <w:b/>
                <w:i/>
                <w:iCs/>
                <w:szCs w:val="24"/>
              </w:rPr>
              <w:t>Наименование на показателите</w:t>
            </w:r>
          </w:p>
        </w:tc>
        <w:tc>
          <w:tcPr>
            <w:tcW w:w="2977" w:type="dxa"/>
            <w:shd w:val="clear" w:color="auto" w:fill="AEAAAA"/>
          </w:tcPr>
          <w:p w14:paraId="43378339" w14:textId="77777777" w:rsidR="00DC4F46" w:rsidRPr="000B4605" w:rsidRDefault="00DC4F46" w:rsidP="00DE619C">
            <w:pPr>
              <w:tabs>
                <w:tab w:val="left" w:pos="993"/>
                <w:tab w:val="left" w:pos="10040"/>
              </w:tabs>
              <w:ind w:right="-25"/>
              <w:rPr>
                <w:rFonts w:ascii="Cambria" w:hAnsi="Cambria"/>
                <w:b/>
                <w:i/>
                <w:iCs/>
                <w:szCs w:val="24"/>
              </w:rPr>
            </w:pPr>
            <w:r w:rsidRPr="000B4605">
              <w:rPr>
                <w:rFonts w:ascii="Cambria" w:hAnsi="Cambria"/>
                <w:b/>
                <w:i/>
                <w:iCs/>
                <w:szCs w:val="24"/>
              </w:rPr>
              <w:t>Максимален брой точки</w:t>
            </w:r>
          </w:p>
        </w:tc>
        <w:tc>
          <w:tcPr>
            <w:tcW w:w="1984" w:type="dxa"/>
            <w:shd w:val="clear" w:color="auto" w:fill="AEAAAA"/>
          </w:tcPr>
          <w:p w14:paraId="43B209DC" w14:textId="77777777" w:rsidR="00DC4F46" w:rsidRPr="000B4605" w:rsidRDefault="00DC4F46" w:rsidP="00DE619C">
            <w:pPr>
              <w:tabs>
                <w:tab w:val="left" w:pos="993"/>
                <w:tab w:val="left" w:pos="10040"/>
              </w:tabs>
              <w:ind w:right="-25"/>
              <w:rPr>
                <w:rFonts w:ascii="Cambria" w:hAnsi="Cambria"/>
                <w:b/>
                <w:i/>
                <w:iCs/>
                <w:szCs w:val="24"/>
              </w:rPr>
            </w:pPr>
            <w:r w:rsidRPr="000B4605">
              <w:rPr>
                <w:rFonts w:ascii="Cambria" w:hAnsi="Cambria"/>
                <w:b/>
                <w:i/>
                <w:iCs/>
                <w:szCs w:val="24"/>
              </w:rPr>
              <w:t>Тежест</w:t>
            </w:r>
          </w:p>
        </w:tc>
      </w:tr>
      <w:tr w:rsidR="00DC4F46" w:rsidRPr="000B4605" w14:paraId="475090BE" w14:textId="77777777" w:rsidTr="00F802E9">
        <w:tc>
          <w:tcPr>
            <w:tcW w:w="4395" w:type="dxa"/>
          </w:tcPr>
          <w:p w14:paraId="13466AEA" w14:textId="77777777" w:rsidR="00DC4F46" w:rsidRPr="000B4605" w:rsidRDefault="00DC4F46" w:rsidP="00DE619C">
            <w:pPr>
              <w:tabs>
                <w:tab w:val="left" w:pos="993"/>
                <w:tab w:val="left" w:pos="10040"/>
              </w:tabs>
              <w:ind w:right="-25" w:firstLine="567"/>
              <w:rPr>
                <w:rFonts w:ascii="Cambria" w:hAnsi="Cambria"/>
                <w:szCs w:val="24"/>
              </w:rPr>
            </w:pPr>
            <w:r w:rsidRPr="000B4605">
              <w:rPr>
                <w:rFonts w:ascii="Cambria" w:hAnsi="Cambria"/>
                <w:szCs w:val="24"/>
              </w:rPr>
              <w:t>1. Ценово предложение – ЦП</w:t>
            </w:r>
          </w:p>
        </w:tc>
        <w:tc>
          <w:tcPr>
            <w:tcW w:w="2977" w:type="dxa"/>
          </w:tcPr>
          <w:p w14:paraId="0F805C11" w14:textId="77777777" w:rsidR="00DC4F46" w:rsidRPr="000B4605" w:rsidRDefault="00DC4F46" w:rsidP="00DE619C">
            <w:pPr>
              <w:tabs>
                <w:tab w:val="left" w:pos="993"/>
                <w:tab w:val="left" w:pos="10040"/>
              </w:tabs>
              <w:ind w:right="-25" w:firstLine="34"/>
              <w:rPr>
                <w:rFonts w:ascii="Cambria" w:hAnsi="Cambria"/>
                <w:szCs w:val="24"/>
              </w:rPr>
            </w:pPr>
            <w:r w:rsidRPr="000B4605">
              <w:rPr>
                <w:rFonts w:ascii="Cambria" w:hAnsi="Cambria"/>
                <w:szCs w:val="24"/>
              </w:rPr>
              <w:t>100</w:t>
            </w:r>
          </w:p>
        </w:tc>
        <w:tc>
          <w:tcPr>
            <w:tcW w:w="1984" w:type="dxa"/>
          </w:tcPr>
          <w:p w14:paraId="4A58AF79" w14:textId="77777777" w:rsidR="00DC4F46" w:rsidRPr="000B4605" w:rsidRDefault="00DC4F46" w:rsidP="00DE619C">
            <w:pPr>
              <w:tabs>
                <w:tab w:val="left" w:pos="993"/>
                <w:tab w:val="left" w:pos="10040"/>
              </w:tabs>
              <w:ind w:right="-25"/>
              <w:rPr>
                <w:rFonts w:ascii="Cambria" w:hAnsi="Cambria"/>
                <w:szCs w:val="24"/>
              </w:rPr>
            </w:pPr>
            <w:r w:rsidRPr="000B4605">
              <w:rPr>
                <w:rFonts w:ascii="Cambria" w:hAnsi="Cambria"/>
                <w:szCs w:val="24"/>
              </w:rPr>
              <w:t>50 %</w:t>
            </w:r>
          </w:p>
        </w:tc>
      </w:tr>
      <w:tr w:rsidR="00DC4F46" w:rsidRPr="000B4605" w14:paraId="4E65B6B5" w14:textId="77777777" w:rsidTr="00F802E9">
        <w:tc>
          <w:tcPr>
            <w:tcW w:w="4395" w:type="dxa"/>
          </w:tcPr>
          <w:p w14:paraId="78CDB66A" w14:textId="77777777" w:rsidR="00DC4F46" w:rsidRPr="000B4605" w:rsidRDefault="00DC4F46" w:rsidP="00DE619C">
            <w:pPr>
              <w:tabs>
                <w:tab w:val="left" w:pos="993"/>
                <w:tab w:val="left" w:pos="10040"/>
              </w:tabs>
              <w:ind w:right="-25" w:firstLine="567"/>
              <w:rPr>
                <w:rFonts w:ascii="Cambria" w:hAnsi="Cambria"/>
                <w:szCs w:val="24"/>
              </w:rPr>
            </w:pPr>
            <w:r w:rsidRPr="000B4605">
              <w:rPr>
                <w:rFonts w:ascii="Cambria" w:hAnsi="Cambria"/>
                <w:szCs w:val="24"/>
              </w:rPr>
              <w:t>2. Техническо предложение – ТП</w:t>
            </w:r>
          </w:p>
        </w:tc>
        <w:tc>
          <w:tcPr>
            <w:tcW w:w="2977" w:type="dxa"/>
          </w:tcPr>
          <w:p w14:paraId="06DC0835" w14:textId="77777777" w:rsidR="00DC4F46" w:rsidRPr="000B4605" w:rsidRDefault="00DC4F46" w:rsidP="00DE619C">
            <w:pPr>
              <w:tabs>
                <w:tab w:val="left" w:pos="993"/>
                <w:tab w:val="left" w:pos="10040"/>
              </w:tabs>
              <w:ind w:right="-25" w:firstLine="34"/>
              <w:rPr>
                <w:rFonts w:ascii="Cambria" w:hAnsi="Cambria"/>
                <w:szCs w:val="24"/>
              </w:rPr>
            </w:pPr>
            <w:r w:rsidRPr="000B4605">
              <w:rPr>
                <w:rFonts w:ascii="Cambria" w:hAnsi="Cambria"/>
                <w:szCs w:val="24"/>
              </w:rPr>
              <w:t>100</w:t>
            </w:r>
          </w:p>
        </w:tc>
        <w:tc>
          <w:tcPr>
            <w:tcW w:w="1984" w:type="dxa"/>
          </w:tcPr>
          <w:p w14:paraId="42338AEE" w14:textId="77777777" w:rsidR="00DC4F46" w:rsidRPr="000B4605" w:rsidRDefault="00DC4F46" w:rsidP="00DE619C">
            <w:pPr>
              <w:tabs>
                <w:tab w:val="left" w:pos="993"/>
                <w:tab w:val="left" w:pos="10040"/>
              </w:tabs>
              <w:ind w:right="-25"/>
              <w:rPr>
                <w:rFonts w:ascii="Cambria" w:hAnsi="Cambria"/>
                <w:szCs w:val="24"/>
              </w:rPr>
            </w:pPr>
            <w:r w:rsidRPr="000B4605">
              <w:rPr>
                <w:rFonts w:ascii="Cambria" w:hAnsi="Cambria"/>
                <w:szCs w:val="24"/>
              </w:rPr>
              <w:t>50 %</w:t>
            </w:r>
          </w:p>
        </w:tc>
      </w:tr>
    </w:tbl>
    <w:p w14:paraId="2F1F2D53" w14:textId="77777777" w:rsidR="00DC4F46" w:rsidRPr="000B4605" w:rsidRDefault="00DC4F46" w:rsidP="00DE619C">
      <w:pPr>
        <w:tabs>
          <w:tab w:val="left" w:pos="993"/>
          <w:tab w:val="left" w:pos="10040"/>
        </w:tabs>
        <w:ind w:right="-25" w:firstLine="567"/>
        <w:rPr>
          <w:rFonts w:ascii="Cambria" w:hAnsi="Cambria"/>
          <w:bCs/>
          <w:szCs w:val="24"/>
          <w:highlight w:val="yellow"/>
        </w:rPr>
      </w:pPr>
    </w:p>
    <w:p w14:paraId="5A1A8E63" w14:textId="77777777" w:rsidR="00DC4F46" w:rsidRPr="000B4605" w:rsidRDefault="00DC4F46" w:rsidP="00DE619C">
      <w:pPr>
        <w:tabs>
          <w:tab w:val="left" w:pos="993"/>
          <w:tab w:val="left" w:pos="10040"/>
        </w:tabs>
        <w:ind w:right="-25" w:firstLine="567"/>
        <w:jc w:val="both"/>
        <w:rPr>
          <w:rFonts w:ascii="Cambria" w:hAnsi="Cambria"/>
          <w:bCs/>
          <w:szCs w:val="24"/>
        </w:rPr>
      </w:pPr>
      <w:r w:rsidRPr="000B4605">
        <w:rPr>
          <w:rFonts w:ascii="Cambria" w:hAnsi="Cambria"/>
          <w:bCs/>
          <w:szCs w:val="24"/>
        </w:rPr>
        <w:t>Максималната стойност на комплексната оценка (</w:t>
      </w:r>
      <w:r w:rsidRPr="000B4605">
        <w:rPr>
          <w:rFonts w:ascii="Cambria" w:hAnsi="Cambria"/>
          <w:b/>
          <w:bCs/>
          <w:szCs w:val="24"/>
        </w:rPr>
        <w:t>КО)</w:t>
      </w:r>
      <w:r w:rsidRPr="000B4605">
        <w:rPr>
          <w:rFonts w:ascii="Cambria" w:hAnsi="Cambria"/>
          <w:bCs/>
          <w:szCs w:val="24"/>
        </w:rPr>
        <w:t xml:space="preserve"> е 100.</w:t>
      </w:r>
    </w:p>
    <w:p w14:paraId="47D53F82" w14:textId="77777777" w:rsidR="00DC4F46" w:rsidRPr="000B4605" w:rsidRDefault="00DC4F46" w:rsidP="00DE619C">
      <w:pPr>
        <w:tabs>
          <w:tab w:val="left" w:pos="993"/>
          <w:tab w:val="left" w:pos="10040"/>
        </w:tabs>
        <w:ind w:right="-25" w:firstLine="567"/>
        <w:jc w:val="both"/>
        <w:rPr>
          <w:rFonts w:ascii="Cambria" w:hAnsi="Cambria"/>
          <w:bCs/>
          <w:szCs w:val="24"/>
        </w:rPr>
      </w:pPr>
      <w:r w:rsidRPr="000B4605">
        <w:rPr>
          <w:rFonts w:ascii="Cambria" w:hAnsi="Cambria"/>
          <w:bCs/>
          <w:szCs w:val="24"/>
        </w:rPr>
        <w:t xml:space="preserve">На първо място се класира участникът с най-голяма обща оценка </w:t>
      </w:r>
      <w:r w:rsidRPr="000B4605">
        <w:rPr>
          <w:rFonts w:ascii="Cambria" w:hAnsi="Cambria"/>
          <w:b/>
          <w:bCs/>
          <w:szCs w:val="24"/>
        </w:rPr>
        <w:t>КО</w:t>
      </w:r>
      <w:r w:rsidRPr="000B4605">
        <w:rPr>
          <w:rFonts w:ascii="Cambria" w:hAnsi="Cambria"/>
          <w:bCs/>
          <w:szCs w:val="24"/>
        </w:rPr>
        <w:t>.</w:t>
      </w:r>
    </w:p>
    <w:p w14:paraId="5AF24C5F" w14:textId="77777777" w:rsidR="00DC4F46" w:rsidRPr="000B4605" w:rsidRDefault="00DC4F46" w:rsidP="00DE619C">
      <w:pPr>
        <w:tabs>
          <w:tab w:val="left" w:pos="993"/>
          <w:tab w:val="left" w:pos="10040"/>
        </w:tabs>
        <w:ind w:right="-25" w:firstLine="567"/>
        <w:jc w:val="both"/>
        <w:rPr>
          <w:rFonts w:ascii="Cambria" w:hAnsi="Cambria"/>
          <w:bCs/>
          <w:szCs w:val="24"/>
        </w:rPr>
      </w:pPr>
      <w:r w:rsidRPr="000B4605">
        <w:rPr>
          <w:rFonts w:ascii="Cambria" w:hAnsi="Cambria"/>
          <w:bCs/>
          <w:szCs w:val="24"/>
        </w:rPr>
        <w:t>Останалите оферти заемат места в класирането по низходящ ред на стойностите на общите оценки.</w:t>
      </w:r>
    </w:p>
    <w:p w14:paraId="1C68B2CE"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bCs/>
          <w:color w:val="000000"/>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14:paraId="77A03797" w14:textId="77777777" w:rsidR="00DC4F46" w:rsidRPr="000B4605" w:rsidRDefault="00DC4F46" w:rsidP="00DE619C">
      <w:pPr>
        <w:tabs>
          <w:tab w:val="left" w:pos="993"/>
          <w:tab w:val="left" w:pos="10040"/>
        </w:tabs>
        <w:ind w:right="-25" w:firstLine="567"/>
        <w:jc w:val="both"/>
        <w:rPr>
          <w:rFonts w:ascii="Cambria" w:hAnsi="Cambria"/>
          <w:bCs/>
          <w:color w:val="000000"/>
          <w:szCs w:val="24"/>
        </w:rPr>
      </w:pPr>
      <w:r w:rsidRPr="000B4605">
        <w:rPr>
          <w:rFonts w:ascii="Cambria" w:hAnsi="Cambria"/>
          <w:bCs/>
          <w:color w:val="000000"/>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14:paraId="588182E1" w14:textId="77777777" w:rsidR="00DC4F46" w:rsidRPr="000B4605" w:rsidRDefault="00DC4F46" w:rsidP="00DE619C">
      <w:pPr>
        <w:tabs>
          <w:tab w:val="left" w:pos="993"/>
          <w:tab w:val="left" w:pos="10040"/>
        </w:tabs>
        <w:ind w:right="-25" w:firstLine="567"/>
        <w:jc w:val="both"/>
        <w:rPr>
          <w:rFonts w:ascii="Cambria" w:hAnsi="Cambria"/>
          <w:bCs/>
          <w:color w:val="000000"/>
          <w:szCs w:val="24"/>
        </w:rPr>
      </w:pPr>
    </w:p>
    <w:p w14:paraId="7B86E8A5" w14:textId="77777777" w:rsidR="00DC4F46" w:rsidRPr="000B4605" w:rsidRDefault="00DC4F46" w:rsidP="00DE619C">
      <w:pPr>
        <w:keepNext/>
        <w:widowControl w:val="0"/>
        <w:numPr>
          <w:ilvl w:val="0"/>
          <w:numId w:val="9"/>
        </w:numPr>
        <w:tabs>
          <w:tab w:val="left" w:pos="993"/>
          <w:tab w:val="left" w:pos="10040"/>
        </w:tabs>
        <w:ind w:right="-25"/>
        <w:jc w:val="both"/>
        <w:outlineLvl w:val="0"/>
        <w:rPr>
          <w:rFonts w:ascii="Cambria" w:hAnsi="Cambria"/>
          <w:b/>
          <w:bCs/>
          <w:szCs w:val="24"/>
        </w:rPr>
      </w:pPr>
      <w:bookmarkStart w:id="2" w:name="_Toc464826129"/>
      <w:bookmarkStart w:id="3" w:name="_Toc500768989"/>
      <w:r w:rsidRPr="000B4605">
        <w:rPr>
          <w:rFonts w:ascii="Cambria" w:hAnsi="Cambria"/>
          <w:b/>
          <w:bCs/>
          <w:szCs w:val="24"/>
        </w:rPr>
        <w:t>Показател „Ценово предложение“ - ЦП</w:t>
      </w:r>
      <w:bookmarkEnd w:id="2"/>
      <w:r w:rsidRPr="000B4605">
        <w:rPr>
          <w:rFonts w:ascii="Cambria" w:hAnsi="Cambria"/>
          <w:b/>
          <w:bCs/>
          <w:szCs w:val="24"/>
        </w:rPr>
        <w:t>:</w:t>
      </w:r>
      <w:bookmarkEnd w:id="3"/>
    </w:p>
    <w:p w14:paraId="01980C43" w14:textId="77777777" w:rsidR="00DC4F46" w:rsidRPr="000B4605" w:rsidRDefault="00DC4F46" w:rsidP="00DE619C">
      <w:pPr>
        <w:tabs>
          <w:tab w:val="left" w:pos="993"/>
          <w:tab w:val="left" w:pos="10040"/>
        </w:tabs>
        <w:ind w:left="567" w:right="-25"/>
        <w:jc w:val="both"/>
        <w:rPr>
          <w:rFonts w:ascii="Cambria" w:hAnsi="Cambria"/>
          <w:bCs/>
          <w:szCs w:val="24"/>
        </w:rPr>
      </w:pPr>
      <w:r w:rsidRPr="000B4605">
        <w:rPr>
          <w:rFonts w:ascii="Cambria" w:hAnsi="Cambria"/>
          <w:bCs/>
          <w:szCs w:val="24"/>
        </w:rPr>
        <w:t>Максимален брой точки по показателя - 100 точки.</w:t>
      </w:r>
    </w:p>
    <w:p w14:paraId="411B25CE" w14:textId="77777777" w:rsidR="00DC4F46" w:rsidRPr="000B4605" w:rsidRDefault="00DC4F46" w:rsidP="00DE619C">
      <w:pPr>
        <w:keepNext/>
        <w:tabs>
          <w:tab w:val="left" w:pos="993"/>
          <w:tab w:val="left" w:pos="10040"/>
        </w:tabs>
        <w:ind w:left="567" w:right="-25"/>
        <w:jc w:val="both"/>
        <w:outlineLvl w:val="0"/>
        <w:rPr>
          <w:rFonts w:ascii="Cambria" w:hAnsi="Cambria"/>
          <w:bCs/>
          <w:szCs w:val="24"/>
        </w:rPr>
      </w:pPr>
      <w:bookmarkStart w:id="4" w:name="_Toc500768990"/>
      <w:r w:rsidRPr="000B4605">
        <w:rPr>
          <w:rFonts w:ascii="Cambria" w:hAnsi="Cambria"/>
          <w:bCs/>
          <w:szCs w:val="24"/>
        </w:rPr>
        <w:t>Оценката по този показател се определя по формулата:</w:t>
      </w:r>
      <w:bookmarkEnd w:id="4"/>
    </w:p>
    <w:p w14:paraId="498623E8" w14:textId="77777777" w:rsidR="00DC4F46" w:rsidRPr="000B4605" w:rsidRDefault="00DC4F46" w:rsidP="00DE619C">
      <w:pPr>
        <w:tabs>
          <w:tab w:val="left" w:pos="993"/>
          <w:tab w:val="left" w:pos="10040"/>
        </w:tabs>
        <w:ind w:right="-25" w:firstLine="567"/>
        <w:jc w:val="both"/>
        <w:rPr>
          <w:rFonts w:ascii="Cambria" w:hAnsi="Cambria"/>
          <w:b/>
          <w:szCs w:val="24"/>
          <w:highlight w:val="yellow"/>
        </w:rPr>
      </w:pPr>
    </w:p>
    <w:p w14:paraId="3A1C58F1"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b/>
          <w:szCs w:val="24"/>
        </w:rPr>
        <w:t>ЦП = 100 x (ЦП</w:t>
      </w:r>
      <w:r w:rsidRPr="000B4605">
        <w:rPr>
          <w:rFonts w:ascii="Cambria" w:hAnsi="Cambria"/>
          <w:b/>
          <w:szCs w:val="24"/>
          <w:vertAlign w:val="subscript"/>
        </w:rPr>
        <w:t>мин</w:t>
      </w:r>
      <w:r w:rsidRPr="000B4605">
        <w:rPr>
          <w:rFonts w:ascii="Cambria" w:hAnsi="Cambria"/>
          <w:b/>
          <w:szCs w:val="24"/>
        </w:rPr>
        <w:t xml:space="preserve"> /ЦП</w:t>
      </w:r>
      <w:r w:rsidRPr="000B4605">
        <w:rPr>
          <w:rFonts w:ascii="Cambria" w:hAnsi="Cambria"/>
          <w:b/>
          <w:szCs w:val="24"/>
          <w:vertAlign w:val="subscript"/>
        </w:rPr>
        <w:t>уч</w:t>
      </w:r>
      <w:r w:rsidRPr="000B4605">
        <w:rPr>
          <w:rFonts w:ascii="Cambria" w:hAnsi="Cambria"/>
          <w:b/>
          <w:szCs w:val="24"/>
        </w:rPr>
        <w:t>)</w:t>
      </w:r>
      <w:r w:rsidRPr="000B4605">
        <w:rPr>
          <w:rFonts w:ascii="Cambria" w:hAnsi="Cambria"/>
          <w:szCs w:val="24"/>
        </w:rPr>
        <w:t>, където:</w:t>
      </w:r>
    </w:p>
    <w:p w14:paraId="6C8CF156" w14:textId="77777777" w:rsidR="00DC4F46" w:rsidRPr="000B4605" w:rsidRDefault="00DC4F46" w:rsidP="00DE619C">
      <w:pPr>
        <w:tabs>
          <w:tab w:val="left" w:pos="993"/>
          <w:tab w:val="left" w:pos="10040"/>
        </w:tabs>
        <w:ind w:right="-25" w:firstLine="567"/>
        <w:jc w:val="both"/>
        <w:rPr>
          <w:rFonts w:ascii="Cambria" w:hAnsi="Cambria"/>
          <w:szCs w:val="24"/>
          <w:highlight w:val="yellow"/>
        </w:rPr>
      </w:pPr>
    </w:p>
    <w:p w14:paraId="76135DA2"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b/>
          <w:szCs w:val="24"/>
        </w:rPr>
        <w:t>ЦП</w:t>
      </w:r>
      <w:r w:rsidRPr="000B4605">
        <w:rPr>
          <w:rFonts w:ascii="Cambria" w:hAnsi="Cambria"/>
          <w:b/>
          <w:szCs w:val="24"/>
          <w:vertAlign w:val="subscript"/>
        </w:rPr>
        <w:t>мин</w:t>
      </w:r>
      <w:r w:rsidRPr="000B4605">
        <w:rPr>
          <w:rFonts w:ascii="Cambria" w:hAnsi="Cambria"/>
          <w:szCs w:val="24"/>
        </w:rPr>
        <w:t xml:space="preserve"> – най - ниското ценово предложение в лв. </w:t>
      </w:r>
      <w:proofErr w:type="gramStart"/>
      <w:r w:rsidRPr="000B4605">
        <w:rPr>
          <w:rFonts w:ascii="Cambria" w:hAnsi="Cambria"/>
          <w:szCs w:val="24"/>
        </w:rPr>
        <w:t>без</w:t>
      </w:r>
      <w:proofErr w:type="gramEnd"/>
      <w:r w:rsidRPr="000B4605">
        <w:rPr>
          <w:rFonts w:ascii="Cambria" w:hAnsi="Cambria"/>
          <w:szCs w:val="24"/>
        </w:rPr>
        <w:t xml:space="preserve"> ДДС;</w:t>
      </w:r>
    </w:p>
    <w:p w14:paraId="5FFC178C"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b/>
          <w:szCs w:val="24"/>
        </w:rPr>
        <w:t>ЦП</w:t>
      </w:r>
      <w:r w:rsidRPr="000B4605">
        <w:rPr>
          <w:rFonts w:ascii="Cambria" w:hAnsi="Cambria"/>
          <w:b/>
          <w:szCs w:val="24"/>
          <w:vertAlign w:val="subscript"/>
        </w:rPr>
        <w:t>уч</w:t>
      </w:r>
      <w:r w:rsidRPr="000B4605">
        <w:rPr>
          <w:rFonts w:ascii="Cambria" w:hAnsi="Cambria"/>
          <w:szCs w:val="24"/>
        </w:rPr>
        <w:t xml:space="preserve"> – ценовото предложение в лв. </w:t>
      </w:r>
      <w:proofErr w:type="gramStart"/>
      <w:r w:rsidRPr="000B4605">
        <w:rPr>
          <w:rFonts w:ascii="Cambria" w:hAnsi="Cambria"/>
          <w:szCs w:val="24"/>
        </w:rPr>
        <w:t>без</w:t>
      </w:r>
      <w:proofErr w:type="gramEnd"/>
      <w:r w:rsidRPr="000B4605">
        <w:rPr>
          <w:rFonts w:ascii="Cambria" w:hAnsi="Cambria"/>
          <w:szCs w:val="24"/>
        </w:rPr>
        <w:t xml:space="preserve"> ДДС, предложено от съответния участник в процедурата.</w:t>
      </w:r>
    </w:p>
    <w:p w14:paraId="65202DE6" w14:textId="77777777" w:rsidR="00DC4F46" w:rsidRPr="000B4605" w:rsidRDefault="00DC4F46" w:rsidP="00DE619C">
      <w:pPr>
        <w:tabs>
          <w:tab w:val="left" w:pos="993"/>
          <w:tab w:val="left" w:pos="10040"/>
        </w:tabs>
        <w:ind w:right="-25" w:firstLine="567"/>
        <w:jc w:val="both"/>
        <w:rPr>
          <w:rFonts w:ascii="Cambria" w:hAnsi="Cambria"/>
          <w:bCs/>
          <w:szCs w:val="24"/>
        </w:rPr>
      </w:pPr>
    </w:p>
    <w:p w14:paraId="1E8DBACE" w14:textId="77777777" w:rsidR="00DC4F46" w:rsidRPr="000B4605" w:rsidRDefault="00DC4F46" w:rsidP="00DE619C">
      <w:pPr>
        <w:tabs>
          <w:tab w:val="left" w:pos="993"/>
          <w:tab w:val="left" w:pos="10040"/>
        </w:tabs>
        <w:ind w:right="-25" w:firstLine="567"/>
        <w:jc w:val="both"/>
        <w:rPr>
          <w:rFonts w:ascii="Cambria" w:hAnsi="Cambria"/>
          <w:b/>
          <w:i/>
          <w:szCs w:val="24"/>
        </w:rPr>
      </w:pPr>
      <w:r w:rsidRPr="000B4605">
        <w:rPr>
          <w:rFonts w:ascii="Cambria" w:hAnsi="Cambria"/>
          <w:b/>
          <w:i/>
          <w:szCs w:val="24"/>
        </w:rPr>
        <w:t>ВАЖНО</w:t>
      </w:r>
      <w:proofErr w:type="gramStart"/>
      <w:r w:rsidRPr="000B4605">
        <w:rPr>
          <w:rFonts w:ascii="Cambria" w:hAnsi="Cambria"/>
          <w:b/>
          <w:i/>
          <w:szCs w:val="24"/>
        </w:rPr>
        <w:t>!!!</w:t>
      </w:r>
      <w:proofErr w:type="gramEnd"/>
      <w:r w:rsidRPr="000B4605">
        <w:rPr>
          <w:rFonts w:ascii="Cambria" w:hAnsi="Cambria"/>
          <w:b/>
          <w:i/>
          <w:szCs w:val="24"/>
        </w:rPr>
        <w:t xml:space="preserve">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w:t>
      </w:r>
      <w:proofErr w:type="gramStart"/>
      <w:r w:rsidRPr="000B4605">
        <w:rPr>
          <w:rFonts w:ascii="Cambria" w:hAnsi="Cambria"/>
          <w:b/>
          <w:i/>
          <w:szCs w:val="24"/>
        </w:rPr>
        <w:t>0</w:t>
      </w:r>
      <w:proofErr w:type="gramEnd"/>
      <w:r w:rsidRPr="000B4605">
        <w:rPr>
          <w:rFonts w:ascii="Cambria" w:hAnsi="Cambria"/>
          <w:b/>
          <w:i/>
          <w:szCs w:val="24"/>
        </w:rPr>
        <w:t xml:space="preserve"> (нула), закръглено до 2 (втори) знак след десетичната запетая.</w:t>
      </w:r>
    </w:p>
    <w:p w14:paraId="3E443A0B" w14:textId="77777777" w:rsidR="00DC4F46" w:rsidRPr="000B4605" w:rsidRDefault="00DC4F46" w:rsidP="00DE619C">
      <w:pPr>
        <w:tabs>
          <w:tab w:val="left" w:pos="993"/>
          <w:tab w:val="left" w:pos="10040"/>
        </w:tabs>
        <w:ind w:right="-25" w:firstLine="567"/>
        <w:jc w:val="both"/>
        <w:rPr>
          <w:rFonts w:ascii="Cambria" w:hAnsi="Cambria"/>
          <w:b/>
          <w:i/>
          <w:szCs w:val="24"/>
          <w:u w:val="single"/>
        </w:rPr>
      </w:pPr>
    </w:p>
    <w:p w14:paraId="5A737D3B" w14:textId="77777777" w:rsidR="00DC4F46" w:rsidRPr="000B4605" w:rsidRDefault="00DC4F46" w:rsidP="00DE619C">
      <w:pPr>
        <w:tabs>
          <w:tab w:val="left" w:pos="993"/>
          <w:tab w:val="left" w:pos="10040"/>
        </w:tabs>
        <w:ind w:right="-25" w:firstLine="567"/>
        <w:jc w:val="both"/>
        <w:rPr>
          <w:rFonts w:ascii="Cambria" w:hAnsi="Cambria"/>
          <w:b/>
          <w:i/>
          <w:szCs w:val="24"/>
          <w:u w:val="single"/>
        </w:rPr>
      </w:pPr>
      <w:r w:rsidRPr="000B4605">
        <w:rPr>
          <w:rFonts w:ascii="Cambria" w:hAnsi="Cambria"/>
          <w:b/>
          <w:i/>
          <w:szCs w:val="24"/>
          <w:u w:val="single"/>
        </w:rPr>
        <w:t xml:space="preserve">Забележка: Участника следва да предвиди в ценовото си предложение процент непредвидени разходи не по-голям от 6 %. </w:t>
      </w:r>
    </w:p>
    <w:p w14:paraId="1B9813FB" w14:textId="77777777" w:rsidR="00DC4F46" w:rsidRPr="000B4605" w:rsidRDefault="00DC4F46" w:rsidP="00DE619C">
      <w:pPr>
        <w:tabs>
          <w:tab w:val="left" w:pos="993"/>
          <w:tab w:val="left" w:pos="10040"/>
        </w:tabs>
        <w:ind w:right="-25" w:firstLine="567"/>
        <w:jc w:val="both"/>
        <w:rPr>
          <w:rFonts w:ascii="Cambria" w:hAnsi="Cambria"/>
          <w:szCs w:val="24"/>
        </w:rPr>
      </w:pPr>
    </w:p>
    <w:p w14:paraId="34434BF7" w14:textId="77777777" w:rsidR="00DC4F46" w:rsidRPr="000B4605" w:rsidRDefault="00DC4F46" w:rsidP="00DE619C">
      <w:pPr>
        <w:keepNext/>
        <w:widowControl w:val="0"/>
        <w:numPr>
          <w:ilvl w:val="0"/>
          <w:numId w:val="9"/>
        </w:numPr>
        <w:tabs>
          <w:tab w:val="left" w:pos="993"/>
          <w:tab w:val="left" w:pos="10040"/>
        </w:tabs>
        <w:ind w:right="-25"/>
        <w:jc w:val="both"/>
        <w:outlineLvl w:val="0"/>
        <w:rPr>
          <w:rFonts w:ascii="Cambria" w:hAnsi="Cambria"/>
          <w:b/>
          <w:bCs/>
          <w:szCs w:val="24"/>
        </w:rPr>
      </w:pPr>
      <w:bookmarkStart w:id="5" w:name="_Toc500768991"/>
      <w:r w:rsidRPr="000B4605">
        <w:rPr>
          <w:rFonts w:ascii="Cambria" w:hAnsi="Cambria"/>
          <w:b/>
          <w:bCs/>
          <w:szCs w:val="24"/>
        </w:rPr>
        <w:t>Показател „Техническо предложение“ – ТП:</w:t>
      </w:r>
      <w:bookmarkEnd w:id="5"/>
    </w:p>
    <w:p w14:paraId="14C61D06" w14:textId="77777777" w:rsidR="00DC4F46" w:rsidRPr="000B4605" w:rsidRDefault="00DC4F46" w:rsidP="00DE619C">
      <w:pPr>
        <w:tabs>
          <w:tab w:val="left" w:pos="993"/>
          <w:tab w:val="left" w:pos="10040"/>
        </w:tabs>
        <w:ind w:right="-25" w:firstLine="567"/>
        <w:jc w:val="both"/>
        <w:rPr>
          <w:rFonts w:ascii="Cambria" w:hAnsi="Cambria"/>
          <w:szCs w:val="24"/>
        </w:rPr>
      </w:pPr>
    </w:p>
    <w:p w14:paraId="0F541DF0" w14:textId="77777777" w:rsidR="00DC4F46" w:rsidRPr="000B4605" w:rsidRDefault="00DC4F46" w:rsidP="00DE619C">
      <w:pPr>
        <w:tabs>
          <w:tab w:val="left" w:pos="993"/>
          <w:tab w:val="left" w:pos="10040"/>
        </w:tabs>
        <w:ind w:right="-25" w:firstLine="567"/>
        <w:jc w:val="both"/>
        <w:rPr>
          <w:rFonts w:ascii="Cambria" w:hAnsi="Cambria"/>
          <w:szCs w:val="24"/>
        </w:rPr>
      </w:pPr>
      <w:r w:rsidRPr="000B4605">
        <w:rPr>
          <w:rFonts w:ascii="Cambria" w:hAnsi="Cambria"/>
          <w:szCs w:val="24"/>
        </w:rPr>
        <w:t xml:space="preserve">Максимален брой точки по показателя </w:t>
      </w:r>
      <w:r w:rsidRPr="000B4605">
        <w:rPr>
          <w:rFonts w:ascii="Cambria" w:hAnsi="Cambria"/>
          <w:b/>
          <w:szCs w:val="24"/>
          <w:lang w:eastAsia="x-none"/>
        </w:rPr>
        <w:t xml:space="preserve">„Ниво на изпълнение на дейностите по </w:t>
      </w:r>
      <w:r w:rsidRPr="000B4605">
        <w:rPr>
          <w:rFonts w:ascii="Cambria" w:hAnsi="Cambria"/>
          <w:b/>
          <w:szCs w:val="24"/>
        </w:rPr>
        <w:t>строителство</w:t>
      </w:r>
      <w:r w:rsidRPr="000B4605">
        <w:rPr>
          <w:rFonts w:ascii="Cambria" w:hAnsi="Cambria"/>
          <w:b/>
          <w:szCs w:val="24"/>
          <w:lang w:eastAsia="x-none"/>
        </w:rPr>
        <w:t>, предложено във всяка оферта в съответствие с предмета на обществената поръчка, техническата спецификация и действащата нормативна база</w:t>
      </w:r>
      <w:proofErr w:type="gramStart"/>
      <w:r w:rsidRPr="000B4605">
        <w:rPr>
          <w:rFonts w:ascii="Cambria" w:hAnsi="Cambria"/>
          <w:b/>
          <w:szCs w:val="24"/>
          <w:lang w:eastAsia="x-none"/>
        </w:rPr>
        <w:t>“</w:t>
      </w:r>
      <w:r w:rsidRPr="000B4605">
        <w:rPr>
          <w:rFonts w:ascii="Cambria" w:hAnsi="Cambria"/>
          <w:szCs w:val="24"/>
        </w:rPr>
        <w:t xml:space="preserve"> е</w:t>
      </w:r>
      <w:proofErr w:type="gramEnd"/>
      <w:r w:rsidRPr="000B4605">
        <w:rPr>
          <w:rFonts w:ascii="Cambria" w:hAnsi="Cambria"/>
          <w:szCs w:val="24"/>
        </w:rPr>
        <w:t xml:space="preserve"> 100 точки.</w:t>
      </w:r>
    </w:p>
    <w:p w14:paraId="290D40DA" w14:textId="77777777" w:rsidR="00DC4F46" w:rsidRPr="000B4605" w:rsidRDefault="00DC4F46" w:rsidP="00DE619C">
      <w:pPr>
        <w:tabs>
          <w:tab w:val="left" w:pos="993"/>
          <w:tab w:val="left" w:pos="10040"/>
        </w:tabs>
        <w:ind w:right="-25" w:firstLine="567"/>
        <w:jc w:val="both"/>
        <w:rPr>
          <w:rFonts w:ascii="Cambria" w:hAnsi="Cambria"/>
          <w:b/>
          <w:szCs w:val="24"/>
          <w:highlight w:val="yellow"/>
          <w:lang w:eastAsia="x-none"/>
        </w:rPr>
      </w:pPr>
    </w:p>
    <w:p w14:paraId="7C7DBBAA" w14:textId="77777777" w:rsidR="00DC4F46" w:rsidRPr="000B4605" w:rsidRDefault="00DC4F46" w:rsidP="00DE619C">
      <w:pPr>
        <w:pStyle w:val="ad"/>
        <w:shd w:val="clear" w:color="auto" w:fill="auto"/>
        <w:spacing w:after="0" w:line="276" w:lineRule="auto"/>
        <w:ind w:right="20" w:firstLine="720"/>
        <w:jc w:val="both"/>
        <w:rPr>
          <w:rFonts w:ascii="Cambria" w:hAnsi="Cambria"/>
          <w:b/>
          <w:sz w:val="24"/>
          <w:szCs w:val="24"/>
          <w:u w:val="single"/>
          <w:lang w:val="bg-BG"/>
        </w:rPr>
      </w:pPr>
      <w:r w:rsidRPr="000B4605">
        <w:rPr>
          <w:rStyle w:val="45"/>
          <w:rFonts w:ascii="Cambria" w:eastAsia="Courier New" w:hAnsi="Cambria"/>
          <w:sz w:val="24"/>
          <w:szCs w:val="24"/>
        </w:rPr>
        <w:t xml:space="preserve">Идентифицираните от Възложителя дейности в етапа на </w:t>
      </w:r>
      <w:r w:rsidRPr="000B4605">
        <w:rPr>
          <w:rFonts w:ascii="Cambria" w:hAnsi="Cambria"/>
          <w:b/>
          <w:sz w:val="24"/>
          <w:szCs w:val="24"/>
          <w:u w:val="single"/>
          <w:lang w:val="bg-BG"/>
        </w:rPr>
        <w:t xml:space="preserve">строителство са дефинирани в Техническата спецификация на обекта, неразделна част от </w:t>
      </w:r>
      <w:r w:rsidRPr="000B4605">
        <w:rPr>
          <w:rFonts w:ascii="Cambria" w:hAnsi="Cambria"/>
          <w:b/>
          <w:sz w:val="24"/>
          <w:szCs w:val="24"/>
          <w:u w:val="single"/>
          <w:lang w:val="bg-BG"/>
        </w:rPr>
        <w:lastRenderedPageBreak/>
        <w:t>настоящата поръчка</w:t>
      </w:r>
    </w:p>
    <w:p w14:paraId="7E956C1B" w14:textId="77777777" w:rsidR="00DC4F46" w:rsidRPr="000B4605" w:rsidRDefault="00DC4F46" w:rsidP="00DE619C">
      <w:pPr>
        <w:tabs>
          <w:tab w:val="left" w:pos="993"/>
          <w:tab w:val="left" w:pos="10040"/>
        </w:tabs>
        <w:ind w:right="-23" w:firstLine="567"/>
        <w:jc w:val="both"/>
        <w:rPr>
          <w:rFonts w:ascii="Cambria" w:hAnsi="Cambria"/>
          <w:szCs w:val="24"/>
          <w:lang w:eastAsia="x-none"/>
        </w:rPr>
      </w:pPr>
    </w:p>
    <w:p w14:paraId="456131AF" w14:textId="77777777" w:rsidR="00DC4F46" w:rsidRPr="000B4605" w:rsidRDefault="00DC4F46" w:rsidP="00DE619C">
      <w:pPr>
        <w:tabs>
          <w:tab w:val="left" w:pos="993"/>
          <w:tab w:val="left" w:pos="10040"/>
        </w:tabs>
        <w:ind w:right="-23" w:firstLine="567"/>
        <w:jc w:val="both"/>
        <w:rPr>
          <w:rFonts w:ascii="Cambria" w:hAnsi="Cambria"/>
          <w:szCs w:val="24"/>
          <w:u w:val="single"/>
          <w:lang w:eastAsia="x-none"/>
        </w:rPr>
      </w:pPr>
      <w:r w:rsidRPr="000B4605">
        <w:rPr>
          <w:rFonts w:ascii="Cambria" w:hAnsi="Cambria"/>
          <w:szCs w:val="24"/>
          <w:u w:val="single"/>
          <w:lang w:eastAsia="x-none"/>
        </w:rPr>
        <w:t>Указания за оценка на показателя, респективно за разработване на частта от предложението за изпълнението на поръчката за показателя:</w:t>
      </w:r>
    </w:p>
    <w:p w14:paraId="3CBBD360" w14:textId="77777777" w:rsidR="00DC4F46" w:rsidRPr="000B4605" w:rsidRDefault="00DC4F46" w:rsidP="00DE619C">
      <w:pPr>
        <w:tabs>
          <w:tab w:val="left" w:pos="993"/>
          <w:tab w:val="left" w:pos="10040"/>
        </w:tabs>
        <w:ind w:right="-23" w:firstLine="567"/>
        <w:jc w:val="both"/>
        <w:rPr>
          <w:rFonts w:ascii="Cambria" w:hAnsi="Cambria"/>
          <w:szCs w:val="24"/>
          <w:u w:val="single"/>
          <w:lang w:eastAsia="x-none"/>
        </w:rPr>
      </w:pPr>
      <w:proofErr w:type="gramStart"/>
      <w:r w:rsidRPr="000B4605">
        <w:rPr>
          <w:rFonts w:ascii="Cambria" w:eastAsia="Calibri" w:hAnsi="Cambria"/>
          <w:b/>
          <w:szCs w:val="24"/>
        </w:rPr>
        <w:t>40</w:t>
      </w:r>
      <w:proofErr w:type="gramEnd"/>
      <w:r w:rsidRPr="000B4605">
        <w:rPr>
          <w:rFonts w:ascii="Cambria" w:eastAsia="Calibri" w:hAnsi="Cambria"/>
          <w:b/>
          <w:szCs w:val="24"/>
        </w:rPr>
        <w:t xml:space="preserve"> т. получава Техническо предложение, което отговаря на базовите изисквания на Възложителя: т.е. осигурява качеството на изпълнение на строителството посредством предложение за технология и организация на изпълнение на дейностите, в което са налице следните обстоятелства:</w:t>
      </w:r>
    </w:p>
    <w:p w14:paraId="0CA8EAB0" w14:textId="77777777" w:rsidR="00DC4F46" w:rsidRPr="000B4605" w:rsidRDefault="00DC4F46" w:rsidP="00DE619C">
      <w:pPr>
        <w:tabs>
          <w:tab w:val="left" w:pos="851"/>
          <w:tab w:val="left" w:pos="10040"/>
        </w:tabs>
        <w:ind w:right="-23" w:firstLine="567"/>
        <w:jc w:val="both"/>
        <w:rPr>
          <w:rFonts w:ascii="Cambria" w:hAnsi="Cambria"/>
          <w:szCs w:val="24"/>
          <w:lang w:eastAsia="x-none"/>
        </w:rPr>
      </w:pPr>
      <w:proofErr w:type="gramStart"/>
      <w:r w:rsidRPr="000B4605">
        <w:rPr>
          <w:rFonts w:ascii="Cambria" w:hAnsi="Cambria"/>
          <w:szCs w:val="24"/>
          <w:lang w:eastAsia="x-none"/>
        </w:rPr>
        <w:t>-</w:t>
      </w:r>
      <w:r w:rsidRPr="000B4605">
        <w:rPr>
          <w:rFonts w:ascii="Cambria" w:hAnsi="Cambria"/>
          <w:szCs w:val="24"/>
          <w:lang w:eastAsia="x-none"/>
        </w:rPr>
        <w:tab/>
        <w:t>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относимите нормативни документи към предмета на поръчката (в т.ч. техническите правила), необходими за изпълнението предмета на поръчката в срока за изпълнение</w:t>
      </w:r>
      <w:proofErr w:type="gramEnd"/>
      <w:r w:rsidRPr="000B4605">
        <w:rPr>
          <w:rFonts w:ascii="Cambria" w:hAnsi="Cambria"/>
          <w:szCs w:val="24"/>
          <w:lang w:eastAsia="x-none"/>
        </w:rPr>
        <w:t xml:space="preserve"> </w:t>
      </w:r>
    </w:p>
    <w:p w14:paraId="47400920" w14:textId="77777777" w:rsidR="00DC4F46" w:rsidRPr="000B4605" w:rsidRDefault="00DC4F46" w:rsidP="00DE619C">
      <w:pPr>
        <w:tabs>
          <w:tab w:val="left" w:pos="851"/>
          <w:tab w:val="left" w:pos="10040"/>
        </w:tabs>
        <w:ind w:right="-23" w:firstLine="567"/>
        <w:jc w:val="both"/>
        <w:rPr>
          <w:rFonts w:ascii="Cambria" w:hAnsi="Cambria"/>
          <w:szCs w:val="24"/>
          <w:lang w:eastAsia="x-none"/>
        </w:rPr>
      </w:pPr>
      <w:r w:rsidRPr="000B4605">
        <w:rPr>
          <w:rFonts w:ascii="Cambria" w:hAnsi="Cambria"/>
          <w:szCs w:val="24"/>
          <w:lang w:eastAsia="x-none"/>
        </w:rPr>
        <w:t>-</w:t>
      </w:r>
      <w:r w:rsidRPr="000B4605">
        <w:rPr>
          <w:rFonts w:ascii="Cambria" w:hAnsi="Cambria"/>
          <w:szCs w:val="24"/>
          <w:lang w:eastAsia="x-none"/>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14:paraId="7EAAEA63" w14:textId="77777777" w:rsidR="00DC4F46" w:rsidRPr="000B4605" w:rsidRDefault="00DC4F46" w:rsidP="00DE619C">
      <w:pPr>
        <w:tabs>
          <w:tab w:val="left" w:pos="851"/>
          <w:tab w:val="left" w:pos="10040"/>
        </w:tabs>
        <w:ind w:right="-23" w:firstLine="567"/>
        <w:jc w:val="both"/>
        <w:rPr>
          <w:rFonts w:ascii="Cambria" w:hAnsi="Cambria"/>
          <w:b/>
          <w:szCs w:val="24"/>
          <w:lang w:eastAsia="x-none"/>
        </w:rPr>
      </w:pPr>
    </w:p>
    <w:p w14:paraId="7DEEC907" w14:textId="77777777" w:rsidR="00DC4F46" w:rsidRPr="000B4605" w:rsidRDefault="00DC4F46" w:rsidP="00DE619C">
      <w:pPr>
        <w:tabs>
          <w:tab w:val="left" w:pos="851"/>
          <w:tab w:val="left" w:pos="10040"/>
        </w:tabs>
        <w:ind w:right="-23" w:firstLine="567"/>
        <w:jc w:val="both"/>
        <w:rPr>
          <w:rFonts w:ascii="Cambria" w:hAnsi="Cambria"/>
          <w:szCs w:val="24"/>
          <w:lang w:eastAsia="x-none"/>
        </w:rPr>
      </w:pPr>
      <w:r w:rsidRPr="000B4605">
        <w:rPr>
          <w:rFonts w:ascii="Cambria" w:hAnsi="Cambria"/>
          <w:b/>
          <w:szCs w:val="24"/>
          <w:lang w:eastAsia="x-none"/>
        </w:rPr>
        <w:t>Забележка:</w:t>
      </w:r>
      <w:r w:rsidRPr="000B4605">
        <w:rPr>
          <w:rFonts w:ascii="Cambria" w:hAnsi="Cambria"/>
          <w:szCs w:val="24"/>
          <w:lang w:eastAsia="x-none"/>
        </w:rPr>
        <w:t xml:space="preserve"> Техническо предложение, което не отговаря на базовите изисквания, съгласно условията за оценяване с 40 </w:t>
      </w:r>
      <w:proofErr w:type="gramStart"/>
      <w:r w:rsidRPr="000B4605">
        <w:rPr>
          <w:rFonts w:ascii="Cambria" w:hAnsi="Cambria"/>
          <w:szCs w:val="24"/>
          <w:lang w:eastAsia="x-none"/>
        </w:rPr>
        <w:t>т.,</w:t>
      </w:r>
      <w:proofErr w:type="gramEnd"/>
      <w:r w:rsidRPr="000B4605">
        <w:rPr>
          <w:rFonts w:ascii="Cambria" w:hAnsi="Cambria"/>
          <w:szCs w:val="24"/>
          <w:lang w:eastAsia="x-none"/>
        </w:rPr>
        <w:t xml:space="preserve"> не се оценява и участникът се отстранява от участие в процедурата.</w:t>
      </w:r>
    </w:p>
    <w:p w14:paraId="4CA3157E" w14:textId="77777777" w:rsidR="00DC4F46" w:rsidRPr="000B4605" w:rsidRDefault="00DC4F46" w:rsidP="00DE619C">
      <w:pPr>
        <w:tabs>
          <w:tab w:val="left" w:pos="851"/>
          <w:tab w:val="left" w:pos="10040"/>
        </w:tabs>
        <w:ind w:right="-23" w:firstLine="567"/>
        <w:jc w:val="both"/>
        <w:rPr>
          <w:rFonts w:ascii="Cambria" w:hAnsi="Cambria"/>
          <w:szCs w:val="24"/>
          <w:lang w:eastAsia="x-none"/>
        </w:rPr>
      </w:pPr>
    </w:p>
    <w:p w14:paraId="277C57AB" w14:textId="77777777" w:rsidR="00DC4F46" w:rsidRPr="000B4605" w:rsidRDefault="00DC4F46" w:rsidP="00DE619C">
      <w:pPr>
        <w:spacing w:after="160"/>
        <w:ind w:firstLine="567"/>
        <w:jc w:val="both"/>
        <w:rPr>
          <w:rFonts w:ascii="Cambria" w:eastAsia="Calibri" w:hAnsi="Cambria"/>
          <w:strike/>
          <w:szCs w:val="24"/>
        </w:rPr>
      </w:pPr>
      <w:r w:rsidRPr="000B4605">
        <w:rPr>
          <w:rFonts w:ascii="Cambria" w:hAnsi="Cambria"/>
          <w:b/>
          <w:szCs w:val="24"/>
          <w:lang w:eastAsia="x-none"/>
        </w:rPr>
        <w:t>ВАЖНО</w:t>
      </w:r>
      <w:proofErr w:type="gramStart"/>
      <w:r w:rsidRPr="000B4605">
        <w:rPr>
          <w:rFonts w:ascii="Cambria" w:hAnsi="Cambria"/>
          <w:b/>
          <w:szCs w:val="24"/>
          <w:lang w:eastAsia="x-none"/>
        </w:rPr>
        <w:t>!!!</w:t>
      </w:r>
      <w:proofErr w:type="gramEnd"/>
      <w:r w:rsidRPr="000B4605">
        <w:rPr>
          <w:rFonts w:ascii="Cambria" w:hAnsi="Cambria"/>
          <w:szCs w:val="24"/>
          <w:lang w:eastAsia="x-none"/>
        </w:rPr>
        <w:t xml:space="preserve"> За нуждите на настоящата поръчка се прави следното пояснение:</w:t>
      </w:r>
      <w:r w:rsidRPr="000B4605">
        <w:rPr>
          <w:rFonts w:ascii="Cambria" w:eastAsia="Calibri" w:hAnsi="Cambria"/>
          <w:szCs w:val="24"/>
        </w:rPr>
        <w:t xml:space="preserve"> </w:t>
      </w:r>
      <w:r w:rsidRPr="000B4605">
        <w:rPr>
          <w:rFonts w:ascii="Cambria" w:eastAsia="Calibri" w:hAnsi="Cambria"/>
          <w:b/>
          <w:bCs/>
          <w:szCs w:val="24"/>
          <w:u w:val="single"/>
        </w:rPr>
        <w:t>Линеен график</w:t>
      </w:r>
      <w:r w:rsidRPr="000B4605">
        <w:rPr>
          <w:rFonts w:ascii="Cambria" w:eastAsia="Calibri" w:hAnsi="Cambria"/>
          <w:szCs w:val="24"/>
        </w:rPr>
        <w:t xml:space="preserve">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w:t>
      </w:r>
      <w:proofErr w:type="gramStart"/>
      <w:r w:rsidRPr="000B4605">
        <w:rPr>
          <w:rFonts w:ascii="Cambria" w:eastAsia="Calibri" w:hAnsi="Cambria"/>
          <w:szCs w:val="24"/>
        </w:rPr>
        <w:t>строителни  и</w:t>
      </w:r>
      <w:proofErr w:type="gramEnd"/>
      <w:r w:rsidRPr="000B4605">
        <w:rPr>
          <w:rFonts w:ascii="Cambria" w:eastAsia="Calibri" w:hAnsi="Cambria"/>
          <w:szCs w:val="24"/>
        </w:rPr>
        <w:t xml:space="preserve"> наети  лица за всяка една операция и общите за проекта човекодни. В графика участникът следва да посочи и броя и вида на необходимата механизация за всяка една дейност, посочена в КС. </w:t>
      </w:r>
    </w:p>
    <w:p w14:paraId="683C0D3E" w14:textId="77777777" w:rsidR="00DC4F46" w:rsidRPr="000B4605" w:rsidRDefault="00DC4F46" w:rsidP="00DE619C">
      <w:pPr>
        <w:spacing w:after="160"/>
        <w:ind w:firstLine="567"/>
        <w:jc w:val="both"/>
        <w:rPr>
          <w:rFonts w:ascii="Cambria" w:eastAsia="Calibri" w:hAnsi="Cambria"/>
          <w:szCs w:val="24"/>
        </w:rPr>
      </w:pPr>
      <w:r w:rsidRPr="000B4605">
        <w:rPr>
          <w:rFonts w:ascii="Cambria" w:eastAsia="Calibri" w:hAnsi="Cambria"/>
          <w:szCs w:val="24"/>
        </w:rPr>
        <w:t xml:space="preserve">При съставяне на графика и превръщане на предложения срок от месеци в дни следва да се използва за константен брой дни в месеца – 30 дни. </w:t>
      </w:r>
    </w:p>
    <w:p w14:paraId="62D4E05C" w14:textId="77777777" w:rsidR="00DC4F46" w:rsidRPr="000B4605" w:rsidRDefault="00DC4F46" w:rsidP="00DE619C">
      <w:pPr>
        <w:tabs>
          <w:tab w:val="left" w:pos="993"/>
          <w:tab w:val="left" w:pos="10040"/>
        </w:tabs>
        <w:ind w:right="-23" w:firstLine="567"/>
        <w:jc w:val="both"/>
        <w:rPr>
          <w:rFonts w:ascii="Cambria" w:hAnsi="Cambria"/>
          <w:b/>
          <w:szCs w:val="24"/>
          <w:lang w:eastAsia="x-none"/>
        </w:rPr>
      </w:pPr>
      <w:r w:rsidRPr="000B4605">
        <w:rPr>
          <w:rFonts w:ascii="Cambria" w:hAnsi="Cambria"/>
          <w:b/>
          <w:szCs w:val="24"/>
          <w:lang w:eastAsia="x-none"/>
        </w:rPr>
        <w:lastRenderedPageBreak/>
        <w:t>Техническо предложение, което отговаря на базовите изисквания на Възложителя, получава допълнително точки за следните обстоятелства:</w:t>
      </w:r>
    </w:p>
    <w:p w14:paraId="1BB00549" w14:textId="77777777" w:rsidR="00DC4F46" w:rsidRPr="000B4605" w:rsidRDefault="00DC4F46" w:rsidP="00DE619C">
      <w:pPr>
        <w:tabs>
          <w:tab w:val="left" w:pos="993"/>
          <w:tab w:val="left" w:pos="10040"/>
        </w:tabs>
        <w:ind w:right="-23" w:firstLine="567"/>
        <w:jc w:val="both"/>
        <w:rPr>
          <w:rFonts w:ascii="Cambria" w:hAnsi="Cambria"/>
          <w:b/>
          <w:szCs w:val="24"/>
          <w:u w:val="single"/>
          <w:lang w:eastAsia="x-none"/>
        </w:rPr>
      </w:pPr>
    </w:p>
    <w:p w14:paraId="4AC78F85" w14:textId="77777777" w:rsidR="00DC4F46" w:rsidRPr="000B4605" w:rsidRDefault="00DC4F46" w:rsidP="00DE619C">
      <w:pPr>
        <w:tabs>
          <w:tab w:val="left" w:pos="993"/>
          <w:tab w:val="left" w:pos="10040"/>
        </w:tabs>
        <w:ind w:right="-23" w:firstLine="479"/>
        <w:jc w:val="both"/>
        <w:rPr>
          <w:rFonts w:ascii="Cambria" w:hAnsi="Cambria"/>
          <w:b/>
          <w:szCs w:val="24"/>
          <w:lang w:eastAsia="x-none"/>
        </w:rPr>
      </w:pPr>
      <w:r w:rsidRPr="000B4605">
        <w:rPr>
          <w:rFonts w:ascii="Cambria" w:hAnsi="Cambria"/>
          <w:b/>
          <w:i/>
          <w:szCs w:val="24"/>
          <w:lang w:eastAsia="x-none"/>
        </w:rPr>
        <w:t>1.</w:t>
      </w:r>
      <w:r w:rsidRPr="000B4605">
        <w:rPr>
          <w:rFonts w:ascii="Cambria" w:hAnsi="Cambria"/>
          <w:i/>
          <w:szCs w:val="24"/>
          <w:lang w:eastAsia="x-none"/>
        </w:rPr>
        <w:t xml:space="preserve">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w:t>
      </w:r>
      <w:r w:rsidRPr="000B4605">
        <w:rPr>
          <w:rFonts w:ascii="Cambria" w:hAnsi="Cambria"/>
          <w:szCs w:val="24"/>
          <w:lang w:eastAsia="x-none"/>
        </w:rPr>
        <w:t xml:space="preserve">. </w:t>
      </w:r>
      <w:r w:rsidRPr="000B4605">
        <w:rPr>
          <w:rFonts w:ascii="Cambria" w:eastAsia="Calibri" w:hAnsi="Cambria"/>
          <w:szCs w:val="24"/>
        </w:rPr>
        <w:t>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w:t>
      </w:r>
      <w:r w:rsidRPr="000B4605">
        <w:rPr>
          <w:rFonts w:ascii="Cambria" w:hAnsi="Cambria"/>
          <w:szCs w:val="24"/>
          <w:lang w:eastAsia="x-none"/>
        </w:rPr>
        <w:t xml:space="preserve">. </w:t>
      </w:r>
      <w:r w:rsidRPr="000B4605">
        <w:rPr>
          <w:rFonts w:ascii="Cambria" w:hAnsi="Cambria"/>
          <w:b/>
          <w:szCs w:val="24"/>
          <w:lang w:eastAsia="x-none"/>
        </w:rPr>
        <w:t>При наличие на посоченото обстоятелство, предложението получава допълнително 20 т. При констатирано разминаване за една или повече дейности точки по това обстоятелство не се присъждат.</w:t>
      </w:r>
    </w:p>
    <w:p w14:paraId="64D9BE86" w14:textId="77777777" w:rsidR="00DC4F46" w:rsidRPr="000B4605" w:rsidRDefault="00DC4F46" w:rsidP="00DC4F46">
      <w:pPr>
        <w:rPr>
          <w:rFonts w:ascii="Cambria" w:hAnsi="Cambria"/>
          <w:b/>
          <w:szCs w:val="24"/>
        </w:rPr>
      </w:pPr>
    </w:p>
    <w:p w14:paraId="106F1963" w14:textId="77777777" w:rsidR="00DC4F46" w:rsidRPr="000B4605" w:rsidRDefault="00DC4F46" w:rsidP="00DE619C">
      <w:pPr>
        <w:tabs>
          <w:tab w:val="num" w:pos="709"/>
        </w:tabs>
        <w:ind w:firstLine="426"/>
        <w:jc w:val="both"/>
        <w:rPr>
          <w:rFonts w:ascii="Cambria" w:hAnsi="Cambria"/>
          <w:b/>
          <w:szCs w:val="24"/>
          <w:lang w:eastAsia="x-none"/>
        </w:rPr>
      </w:pPr>
      <w:r w:rsidRPr="000B4605">
        <w:rPr>
          <w:rFonts w:ascii="Cambria" w:hAnsi="Cambria"/>
          <w:b/>
          <w:i/>
          <w:szCs w:val="24"/>
          <w:lang w:eastAsia="x-none"/>
        </w:rPr>
        <w:t>2.</w:t>
      </w:r>
      <w:r w:rsidRPr="000B4605">
        <w:rPr>
          <w:rFonts w:ascii="Cambria" w:hAnsi="Cambria"/>
          <w:i/>
          <w:szCs w:val="24"/>
          <w:lang w:eastAsia="x-none"/>
        </w:rPr>
        <w:t xml:space="preserve"> Осигурено е опазването на околната среда по време на изпълнение на строителството, чрез посочени конкретни екологични характеристики.</w:t>
      </w:r>
      <w:r w:rsidRPr="000B4605">
        <w:rPr>
          <w:rFonts w:ascii="Cambria" w:hAnsi="Cambria"/>
          <w:szCs w:val="24"/>
          <w:lang w:eastAsia="x-none"/>
        </w:rPr>
        <w:t xml:space="preserve">  Участникът следва да опише </w:t>
      </w:r>
      <w:r w:rsidRPr="000B4605">
        <w:rPr>
          <w:rFonts w:ascii="Cambria" w:hAnsi="Cambria"/>
          <w:szCs w:val="24"/>
        </w:rPr>
        <w:t xml:space="preserve">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w:t>
      </w:r>
      <w:proofErr w:type="gramStart"/>
      <w:r w:rsidRPr="000B4605">
        <w:rPr>
          <w:rFonts w:ascii="Cambria" w:hAnsi="Cambria"/>
          <w:szCs w:val="24"/>
        </w:rPr>
        <w:t>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шумоизолация;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w:t>
      </w:r>
      <w:proofErr w:type="gramEnd"/>
      <w:r w:rsidRPr="000B4605">
        <w:rPr>
          <w:rFonts w:ascii="Cambria" w:hAnsi="Cambria"/>
          <w:szCs w:val="24"/>
        </w:rPr>
        <w:t xml:space="preserve"> </w:t>
      </w:r>
      <w:r w:rsidRPr="000B4605">
        <w:rPr>
          <w:rFonts w:ascii="Cambria" w:hAnsi="Cambria"/>
          <w:b/>
          <w:szCs w:val="24"/>
          <w:lang w:eastAsia="x-none"/>
        </w:rPr>
        <w:t>При наличие на посоченото обстоятелство, предложението получава допълнително 20 т.</w:t>
      </w:r>
    </w:p>
    <w:p w14:paraId="112DA45D" w14:textId="77777777" w:rsidR="00DC4F46" w:rsidRPr="000B4605" w:rsidRDefault="00DC4F46" w:rsidP="00DC4F46">
      <w:pPr>
        <w:ind w:firstLine="426"/>
        <w:rPr>
          <w:rFonts w:ascii="Cambria" w:hAnsi="Cambria"/>
          <w:szCs w:val="24"/>
        </w:rPr>
      </w:pPr>
    </w:p>
    <w:p w14:paraId="1F073C82" w14:textId="77777777" w:rsidR="00DC4F46" w:rsidRPr="000B4605" w:rsidRDefault="00DC4F46" w:rsidP="00DC4F46">
      <w:pPr>
        <w:pStyle w:val="Style"/>
        <w:widowControl/>
        <w:suppressAutoHyphens/>
        <w:ind w:firstLine="708"/>
        <w:jc w:val="both"/>
        <w:rPr>
          <w:rFonts w:ascii="Cambria" w:eastAsia="Times New Roman" w:hAnsi="Cambria"/>
          <w:b/>
          <w:spacing w:val="0"/>
          <w:kern w:val="0"/>
          <w:position w:val="0"/>
          <w:szCs w:val="24"/>
          <w:lang w:eastAsia="x-none"/>
        </w:rPr>
      </w:pPr>
      <w:r w:rsidRPr="000B4605">
        <w:rPr>
          <w:rFonts w:ascii="Cambria" w:eastAsia="Times New Roman" w:hAnsi="Cambria"/>
          <w:b/>
          <w:spacing w:val="0"/>
          <w:kern w:val="0"/>
          <w:position w:val="0"/>
          <w:szCs w:val="24"/>
          <w:lang w:eastAsia="x-none"/>
        </w:rPr>
        <w:t xml:space="preserve">3. </w:t>
      </w:r>
      <w:r w:rsidRPr="000B4605">
        <w:rPr>
          <w:rFonts w:ascii="Cambria" w:eastAsia="Times New Roman" w:hAnsi="Cambria"/>
          <w:i/>
          <w:spacing w:val="0"/>
          <w:kern w:val="0"/>
          <w:position w:val="0"/>
          <w:szCs w:val="24"/>
          <w:lang w:eastAsia="x-none"/>
        </w:rPr>
        <w:t xml:space="preserve">Осигурено е качественото изпълнение на обекта чрез предложени мерки за контрол на изпълнението.  </w:t>
      </w:r>
      <w:r w:rsidRPr="000B4605">
        <w:rPr>
          <w:rFonts w:ascii="Cambria" w:hAnsi="Cambria"/>
          <w:szCs w:val="24"/>
        </w:rPr>
        <w:t xml:space="preserve">Участниците следва да направят описание на мерките за контрол на качеството при  изпълнение на договора по отношение на следните мерки: мерки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w:t>
      </w:r>
      <w:r w:rsidRPr="000B4605">
        <w:rPr>
          <w:rFonts w:ascii="Cambria" w:hAnsi="Cambria"/>
          <w:szCs w:val="24"/>
        </w:rPr>
        <w:lastRenderedPageBreak/>
        <w:t xml:space="preserve">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мерки за контрол на изпълнението на  СМР, контрол при  съхранение  на  документацията. </w:t>
      </w:r>
      <w:r w:rsidRPr="000B4605">
        <w:rPr>
          <w:rFonts w:ascii="Cambria" w:eastAsia="Times New Roman" w:hAnsi="Cambria"/>
          <w:b/>
          <w:spacing w:val="0"/>
          <w:kern w:val="0"/>
          <w:position w:val="0"/>
          <w:szCs w:val="24"/>
          <w:lang w:eastAsia="x-none"/>
        </w:rPr>
        <w:t>При наличие на посоченото обстоятелство, предложението получава допълнително 20 т.</w:t>
      </w:r>
    </w:p>
    <w:p w14:paraId="73A90DF5" w14:textId="77777777" w:rsidR="00DC4F46" w:rsidRPr="000B4605" w:rsidRDefault="00DC4F46" w:rsidP="00DC4F46">
      <w:pPr>
        <w:tabs>
          <w:tab w:val="left" w:pos="993"/>
          <w:tab w:val="left" w:pos="10040"/>
        </w:tabs>
        <w:ind w:right="-23" w:firstLine="567"/>
        <w:rPr>
          <w:rFonts w:ascii="Cambria" w:hAnsi="Cambria"/>
          <w:szCs w:val="24"/>
          <w:highlight w:val="green"/>
          <w:lang w:eastAsia="x-none"/>
        </w:rPr>
      </w:pPr>
    </w:p>
    <w:p w14:paraId="37895BD4"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proofErr w:type="gramStart"/>
      <w:r w:rsidRPr="000B4605">
        <w:rPr>
          <w:rFonts w:ascii="Cambria" w:hAnsi="Cambria"/>
          <w:b/>
          <w:i/>
          <w:szCs w:val="24"/>
          <w:lang w:eastAsia="x-none"/>
        </w:rPr>
        <w:t>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изпълнение в срок“ при този показател,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roofErr w:type="gramEnd"/>
    </w:p>
    <w:p w14:paraId="2B94962E"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p>
    <w:p w14:paraId="7E522518"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r w:rsidRPr="000B4605">
        <w:rPr>
          <w:rFonts w:ascii="Cambria" w:hAnsi="Cambria"/>
          <w:b/>
          <w:i/>
          <w:szCs w:val="24"/>
          <w:lang w:eastAsia="x-none"/>
        </w:rPr>
        <w:t>ВАЖНО!</w:t>
      </w:r>
    </w:p>
    <w:p w14:paraId="30660760"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r w:rsidRPr="000B4605">
        <w:rPr>
          <w:rFonts w:ascii="Cambria" w:hAnsi="Cambria"/>
          <w:b/>
          <w:i/>
          <w:szCs w:val="24"/>
          <w:lang w:eastAsia="x-none"/>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14:paraId="5535B8E1"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r w:rsidRPr="000B4605">
        <w:rPr>
          <w:rFonts w:ascii="Cambria" w:hAnsi="Cambria"/>
          <w:b/>
          <w:i/>
          <w:szCs w:val="24"/>
          <w:lang w:eastAsia="x-none"/>
        </w:rPr>
        <w:t>Възложителят няма да оценява пълнотата и начина на представяне на информацията в техническите предложения на участниците.</w:t>
      </w:r>
    </w:p>
    <w:p w14:paraId="090262C3" w14:textId="77777777" w:rsidR="00DC4F46" w:rsidRPr="000B4605" w:rsidRDefault="00DC4F46" w:rsidP="00DC4F46">
      <w:pPr>
        <w:tabs>
          <w:tab w:val="left" w:pos="993"/>
          <w:tab w:val="left" w:pos="10040"/>
        </w:tabs>
        <w:ind w:right="-23" w:firstLine="567"/>
        <w:jc w:val="both"/>
        <w:rPr>
          <w:rFonts w:ascii="Cambria" w:hAnsi="Cambria"/>
          <w:b/>
          <w:i/>
          <w:szCs w:val="24"/>
          <w:lang w:eastAsia="x-none"/>
        </w:rPr>
      </w:pPr>
      <w:proofErr w:type="gramStart"/>
      <w:r w:rsidRPr="000B4605">
        <w:rPr>
          <w:rFonts w:ascii="Cambria" w:hAnsi="Cambria"/>
          <w:b/>
          <w:i/>
          <w:szCs w:val="24"/>
          <w:lang w:eastAsia="x-none"/>
        </w:rPr>
        <w:t>Предложения на участници в обществената поръчка, които не отговарят на инвестиционния технически проект и Техническата спецификация на Възложителя и/или приложенията към него, действащото законодателство,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roofErr w:type="gramEnd"/>
    </w:p>
    <w:p w14:paraId="3B939035" w14:textId="77777777" w:rsidR="00DC4F46" w:rsidRPr="000B4605" w:rsidRDefault="00DC4F46" w:rsidP="00DC4F46">
      <w:pPr>
        <w:tabs>
          <w:tab w:val="left" w:pos="993"/>
          <w:tab w:val="left" w:pos="10040"/>
        </w:tabs>
        <w:ind w:right="-23" w:firstLine="567"/>
        <w:rPr>
          <w:rFonts w:ascii="Cambria" w:hAnsi="Cambria"/>
          <w:b/>
          <w:i/>
          <w:szCs w:val="24"/>
          <w:lang w:eastAsia="x-none"/>
        </w:rPr>
      </w:pPr>
    </w:p>
    <w:p w14:paraId="27101207" w14:textId="77777777" w:rsidR="00DC4F46" w:rsidRPr="000B4605" w:rsidRDefault="00DC4F46" w:rsidP="00DC4F46">
      <w:pPr>
        <w:pStyle w:val="Tabletext"/>
        <w:tabs>
          <w:tab w:val="left" w:pos="993"/>
          <w:tab w:val="left" w:pos="10040"/>
        </w:tabs>
        <w:spacing w:before="0"/>
        <w:ind w:right="-23" w:firstLine="567"/>
        <w:rPr>
          <w:rFonts w:ascii="Cambria" w:hAnsi="Cambria"/>
          <w:b/>
          <w:i/>
          <w:lang w:val="bg-BG"/>
        </w:rPr>
      </w:pPr>
      <w:r w:rsidRPr="000B4605">
        <w:rPr>
          <w:rFonts w:ascii="Cambria" w:hAnsi="Cambria"/>
          <w:b/>
          <w:i/>
          <w:lang w:val="bg-BG"/>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за изпълнение на поръчката по смисъла на чл. 107, т. 2, буква „а“ от ЗОП, във връзка с чл. 101, ал. 5 от ЗОП.</w:t>
      </w:r>
    </w:p>
    <w:p w14:paraId="2E90690A" w14:textId="77777777" w:rsidR="00DC4F46" w:rsidRPr="000B4605" w:rsidRDefault="00DC4F46" w:rsidP="00DC4F46">
      <w:pPr>
        <w:rPr>
          <w:rFonts w:ascii="Cambria" w:hAnsi="Cambria"/>
          <w:b/>
          <w:szCs w:val="24"/>
        </w:rPr>
      </w:pPr>
      <w:bookmarkStart w:id="6" w:name="_GoBack"/>
      <w:bookmarkEnd w:id="6"/>
    </w:p>
    <w:p w14:paraId="751A7DF2" w14:textId="77777777" w:rsidR="00DC4F46" w:rsidRPr="000B4605" w:rsidRDefault="00DC4F46" w:rsidP="00DC4F46">
      <w:pPr>
        <w:pStyle w:val="ab"/>
        <w:ind w:left="53"/>
        <w:rPr>
          <w:rFonts w:ascii="Cambria" w:hAnsi="Cambria" w:cs="Times New Roman"/>
          <w:b/>
          <w:i/>
          <w:szCs w:val="24"/>
        </w:rPr>
      </w:pPr>
      <w:r w:rsidRPr="000B4605">
        <w:rPr>
          <w:rFonts w:ascii="Cambria" w:hAnsi="Cambria" w:cs="Times New Roman"/>
          <w:b/>
          <w:i/>
          <w:szCs w:val="24"/>
        </w:rPr>
        <w:t>Забележка:</w:t>
      </w:r>
    </w:p>
    <w:p w14:paraId="145E9A8A" w14:textId="77777777" w:rsidR="00DC4F46" w:rsidRPr="000B4605" w:rsidRDefault="00DC4F46" w:rsidP="00DC4F46">
      <w:pPr>
        <w:pStyle w:val="ab"/>
        <w:ind w:left="53"/>
        <w:rPr>
          <w:rFonts w:ascii="Cambria" w:hAnsi="Cambria" w:cs="Times New Roman"/>
          <w:i/>
          <w:szCs w:val="24"/>
        </w:rPr>
      </w:pPr>
      <w:r w:rsidRPr="000B4605">
        <w:rPr>
          <w:rFonts w:ascii="Cambria" w:hAnsi="Cambria" w:cs="Times New Roman"/>
          <w:i/>
          <w:szCs w:val="24"/>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w:t>
      </w:r>
      <w:hyperlink r:id="rId9" w:history="1">
        <w:r w:rsidRPr="000B4605">
          <w:rPr>
            <w:rStyle w:val="a7"/>
            <w:rFonts w:ascii="Cambria" w:hAnsi="Cambria"/>
            <w:i/>
            <w:szCs w:val="24"/>
          </w:rPr>
          <w:t>http://rechnik.info/</w:t>
        </w:r>
      </w:hyperlink>
      <w:r w:rsidRPr="000B4605">
        <w:rPr>
          <w:rFonts w:ascii="Cambria" w:hAnsi="Cambria" w:cs="Times New Roman"/>
          <w:i/>
          <w:szCs w:val="24"/>
        </w:rPr>
        <w:t xml:space="preserve"> </w:t>
      </w:r>
    </w:p>
    <w:p w14:paraId="0C5B49B9" w14:textId="77777777" w:rsidR="00DC4F46" w:rsidRPr="000B4605" w:rsidRDefault="00DC4F46" w:rsidP="00DC4F46">
      <w:pPr>
        <w:pStyle w:val="ab"/>
        <w:ind w:left="53"/>
        <w:rPr>
          <w:rFonts w:ascii="Cambria" w:hAnsi="Cambria" w:cs="Times New Roman"/>
          <w:i/>
          <w:szCs w:val="24"/>
        </w:rPr>
      </w:pPr>
    </w:p>
    <w:p w14:paraId="2527EA6B" w14:textId="77777777" w:rsidR="00DC4F46" w:rsidRPr="000B4605" w:rsidRDefault="00DC4F46" w:rsidP="00DC4F46">
      <w:pPr>
        <w:pStyle w:val="ab"/>
        <w:ind w:left="53"/>
        <w:rPr>
          <w:rFonts w:ascii="Cambria" w:hAnsi="Cambria" w:cs="Times New Roman"/>
          <w:i/>
          <w:szCs w:val="24"/>
        </w:rPr>
      </w:pPr>
      <w:r w:rsidRPr="000B4605">
        <w:rPr>
          <w:rFonts w:ascii="Cambria" w:hAnsi="Cambria" w:cs="Times New Roman"/>
          <w:i/>
          <w:szCs w:val="24"/>
        </w:rPr>
        <w:t xml:space="preserve">Технологични правила – нормативно установени изисквания за изпълнение на СМР, посочени на електронната страница на ДНСК </w:t>
      </w:r>
      <w:hyperlink r:id="rId10" w:history="1">
        <w:r w:rsidRPr="000B4605">
          <w:rPr>
            <w:rStyle w:val="a7"/>
            <w:rFonts w:ascii="Cambria" w:hAnsi="Cambria"/>
            <w:i/>
            <w:szCs w:val="24"/>
          </w:rPr>
          <w:t>http://www.dnsk.mrrb.government.bg/ui/Home.aspx?0ZKDwUgLUJpDpU6ocaJJFwuOmO6Y83hrlid6iFJowjU%3d</w:t>
        </w:r>
      </w:hyperlink>
      <w:r w:rsidRPr="000B4605">
        <w:rPr>
          <w:rFonts w:ascii="Cambria" w:hAnsi="Cambria" w:cs="Times New Roman"/>
          <w:i/>
          <w:szCs w:val="24"/>
        </w:rPr>
        <w:t xml:space="preserve"> . Участниците следва да отчетат настъпили промени в нормативните актове към датата на подаване на офертата си.</w:t>
      </w:r>
    </w:p>
    <w:p w14:paraId="001F8296" w14:textId="77777777" w:rsidR="00DC4F46" w:rsidRPr="000B4605" w:rsidRDefault="00DC4F46" w:rsidP="007C02F3">
      <w:pPr>
        <w:tabs>
          <w:tab w:val="left" w:pos="426"/>
        </w:tabs>
        <w:ind w:firstLine="621"/>
        <w:jc w:val="both"/>
        <w:rPr>
          <w:rFonts w:ascii="Cambria" w:eastAsia="Arial Unicode MS" w:hAnsi="Cambria"/>
          <w:color w:val="000000"/>
          <w:szCs w:val="24"/>
          <w:lang w:val="bg-BG" w:bidi="bg-BG"/>
        </w:rPr>
      </w:pPr>
    </w:p>
    <w:sectPr w:rsidR="00DC4F46" w:rsidRPr="000B4605" w:rsidSect="00A07CA0">
      <w:headerReference w:type="default" r:id="rId11"/>
      <w:footerReference w:type="default" r:id="rId12"/>
      <w:pgSz w:w="11906" w:h="16838"/>
      <w:pgMar w:top="1417" w:right="1417" w:bottom="1417" w:left="1417"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5A3B" w14:textId="77777777" w:rsidR="001316C5" w:rsidRDefault="001316C5" w:rsidP="00685F2A">
      <w:r>
        <w:separator/>
      </w:r>
    </w:p>
  </w:endnote>
  <w:endnote w:type="continuationSeparator" w:id="0">
    <w:p w14:paraId="0605E186" w14:textId="77777777" w:rsidR="001316C5" w:rsidRDefault="001316C5"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4A0" w:firstRow="1" w:lastRow="0" w:firstColumn="1" w:lastColumn="0" w:noHBand="0" w:noVBand="1"/>
    </w:tblPr>
    <w:tblGrid>
      <w:gridCol w:w="9072"/>
    </w:tblGrid>
    <w:tr w:rsidR="0078766B" w14:paraId="2BA226A1" w14:textId="77777777" w:rsidTr="457E2931">
      <w:trPr>
        <w:jc w:val="center"/>
      </w:trPr>
      <w:tc>
        <w:tcPr>
          <w:tcW w:w="9072" w:type="dxa"/>
          <w:shd w:val="clear" w:color="auto" w:fill="auto"/>
          <w:vAlign w:val="center"/>
        </w:tcPr>
        <w:p w14:paraId="17AD93B2" w14:textId="77777777" w:rsidR="0078766B" w:rsidRPr="00C37C4E" w:rsidRDefault="0078766B" w:rsidP="0078766B">
          <w:pPr>
            <w:pStyle w:val="a5"/>
            <w:jc w:val="center"/>
            <w:rPr>
              <w:rFonts w:ascii="Trebuchet MS" w:hAnsi="Trebuchet MS"/>
              <w:b/>
              <w:sz w:val="6"/>
            </w:rPr>
          </w:pPr>
        </w:p>
      </w:tc>
    </w:tr>
  </w:tbl>
  <w:p w14:paraId="2DBF0D7D" w14:textId="77777777" w:rsidR="0078766B" w:rsidRDefault="00787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8CEF" w14:textId="77777777" w:rsidR="001316C5" w:rsidRDefault="001316C5" w:rsidP="00685F2A">
      <w:r>
        <w:separator/>
      </w:r>
    </w:p>
  </w:footnote>
  <w:footnote w:type="continuationSeparator" w:id="0">
    <w:p w14:paraId="33C059C3" w14:textId="77777777" w:rsidR="001316C5" w:rsidRDefault="001316C5"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14:paraId="19219836" w14:textId="77777777" w:rsidTr="00AE1853">
      <w:trPr>
        <w:trHeight w:val="1508"/>
        <w:jc w:val="center"/>
      </w:trPr>
      <w:tc>
        <w:tcPr>
          <w:tcW w:w="5046" w:type="dxa"/>
          <w:shd w:val="clear" w:color="auto" w:fill="auto"/>
          <w:vAlign w:val="center"/>
        </w:tcPr>
        <w:p w14:paraId="296FEF7D" w14:textId="673AA53E" w:rsidR="00AE1853" w:rsidRPr="003D352A" w:rsidRDefault="00AE1853" w:rsidP="00AB5E3B">
          <w:pPr>
            <w:tabs>
              <w:tab w:val="center" w:pos="4536"/>
              <w:tab w:val="left" w:pos="5322"/>
              <w:tab w:val="right" w:pos="9072"/>
            </w:tabs>
            <w:jc w:val="center"/>
          </w:pPr>
        </w:p>
      </w:tc>
      <w:tc>
        <w:tcPr>
          <w:tcW w:w="1642" w:type="dxa"/>
          <w:shd w:val="clear" w:color="auto" w:fill="auto"/>
          <w:vAlign w:val="center"/>
        </w:tcPr>
        <w:p w14:paraId="7194DBDC" w14:textId="4FE21E34" w:rsidR="00AE1853" w:rsidRPr="003D352A" w:rsidRDefault="00AE1853" w:rsidP="00DF4ABA">
          <w:pPr>
            <w:tabs>
              <w:tab w:val="center" w:pos="4536"/>
              <w:tab w:val="left" w:pos="5322"/>
              <w:tab w:val="right" w:pos="9072"/>
            </w:tabs>
            <w:jc w:val="center"/>
            <w:rPr>
              <w:sz w:val="2"/>
            </w:rPr>
          </w:pPr>
        </w:p>
      </w:tc>
      <w:tc>
        <w:tcPr>
          <w:tcW w:w="2384" w:type="dxa"/>
          <w:shd w:val="clear" w:color="auto" w:fill="auto"/>
          <w:vAlign w:val="center"/>
        </w:tcPr>
        <w:p w14:paraId="769D0D3C" w14:textId="30AD9333" w:rsidR="00AE1853" w:rsidRPr="003D352A" w:rsidRDefault="00AE1853" w:rsidP="00AB5E3B">
          <w:pPr>
            <w:tabs>
              <w:tab w:val="center" w:pos="4536"/>
              <w:tab w:val="left" w:pos="5322"/>
              <w:tab w:val="right" w:pos="9072"/>
            </w:tabs>
            <w:jc w:val="center"/>
          </w:pPr>
        </w:p>
      </w:tc>
    </w:tr>
  </w:tbl>
  <w:p w14:paraId="54CD245A" w14:textId="77777777" w:rsidR="00685F2A" w:rsidRDefault="00685F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start w:val="1"/>
      <w:numFmt w:val="bullet"/>
      <w:lvlText w:val="o"/>
      <w:lvlJc w:val="left"/>
      <w:pPr>
        <w:ind w:left="1156" w:hanging="360"/>
      </w:pPr>
      <w:rPr>
        <w:rFonts w:ascii="Courier New" w:hAnsi="Courier New" w:cs="Courier New" w:hint="default"/>
      </w:rPr>
    </w:lvl>
    <w:lvl w:ilvl="2" w:tplc="04020005">
      <w:start w:val="1"/>
      <w:numFmt w:val="bullet"/>
      <w:lvlText w:val=""/>
      <w:lvlJc w:val="left"/>
      <w:pPr>
        <w:ind w:left="1876" w:hanging="360"/>
      </w:pPr>
      <w:rPr>
        <w:rFonts w:ascii="Wingdings" w:hAnsi="Wingdings" w:hint="default"/>
      </w:rPr>
    </w:lvl>
    <w:lvl w:ilvl="3" w:tplc="04020001">
      <w:start w:val="1"/>
      <w:numFmt w:val="bullet"/>
      <w:lvlText w:val=""/>
      <w:lvlJc w:val="left"/>
      <w:pPr>
        <w:ind w:left="2596" w:hanging="360"/>
      </w:pPr>
      <w:rPr>
        <w:rFonts w:ascii="Symbol" w:hAnsi="Symbol" w:hint="default"/>
      </w:rPr>
    </w:lvl>
    <w:lvl w:ilvl="4" w:tplc="04020003">
      <w:start w:val="1"/>
      <w:numFmt w:val="bullet"/>
      <w:lvlText w:val="o"/>
      <w:lvlJc w:val="left"/>
      <w:pPr>
        <w:ind w:left="3316" w:hanging="360"/>
      </w:pPr>
      <w:rPr>
        <w:rFonts w:ascii="Courier New" w:hAnsi="Courier New" w:cs="Courier New" w:hint="default"/>
      </w:rPr>
    </w:lvl>
    <w:lvl w:ilvl="5" w:tplc="04020005">
      <w:start w:val="1"/>
      <w:numFmt w:val="bullet"/>
      <w:lvlText w:val=""/>
      <w:lvlJc w:val="left"/>
      <w:pPr>
        <w:ind w:left="4036" w:hanging="360"/>
      </w:pPr>
      <w:rPr>
        <w:rFonts w:ascii="Wingdings" w:hAnsi="Wingdings" w:hint="default"/>
      </w:rPr>
    </w:lvl>
    <w:lvl w:ilvl="6" w:tplc="04020001">
      <w:start w:val="1"/>
      <w:numFmt w:val="bullet"/>
      <w:lvlText w:val=""/>
      <w:lvlJc w:val="left"/>
      <w:pPr>
        <w:ind w:left="4756" w:hanging="360"/>
      </w:pPr>
      <w:rPr>
        <w:rFonts w:ascii="Symbol" w:hAnsi="Symbol" w:hint="default"/>
      </w:rPr>
    </w:lvl>
    <w:lvl w:ilvl="7" w:tplc="04020003">
      <w:start w:val="1"/>
      <w:numFmt w:val="bullet"/>
      <w:lvlText w:val="o"/>
      <w:lvlJc w:val="left"/>
      <w:pPr>
        <w:ind w:left="5476" w:hanging="360"/>
      </w:pPr>
      <w:rPr>
        <w:rFonts w:ascii="Courier New" w:hAnsi="Courier New" w:cs="Courier New" w:hint="default"/>
      </w:rPr>
    </w:lvl>
    <w:lvl w:ilvl="8" w:tplc="04020005">
      <w:start w:val="1"/>
      <w:numFmt w:val="bullet"/>
      <w:lvlText w:val=""/>
      <w:lvlJc w:val="left"/>
      <w:pPr>
        <w:ind w:left="6196" w:hanging="360"/>
      </w:pPr>
      <w:rPr>
        <w:rFonts w:ascii="Wingdings" w:hAnsi="Wingdings" w:hint="default"/>
      </w:rPr>
    </w:lvl>
  </w:abstractNum>
  <w:abstractNum w:abstractNumId="2"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start w:val="1"/>
      <w:numFmt w:val="bullet"/>
      <w:lvlText w:val="o"/>
      <w:lvlJc w:val="left"/>
      <w:pPr>
        <w:ind w:left="2180" w:hanging="360"/>
      </w:pPr>
      <w:rPr>
        <w:rFonts w:ascii="Courier New" w:hAnsi="Courier New" w:cs="Courier New" w:hint="default"/>
      </w:rPr>
    </w:lvl>
    <w:lvl w:ilvl="2" w:tplc="04020005">
      <w:start w:val="1"/>
      <w:numFmt w:val="bullet"/>
      <w:lvlText w:val=""/>
      <w:lvlJc w:val="left"/>
      <w:pPr>
        <w:ind w:left="2900" w:hanging="360"/>
      </w:pPr>
      <w:rPr>
        <w:rFonts w:ascii="Wingdings" w:hAnsi="Wingdings" w:hint="default"/>
      </w:rPr>
    </w:lvl>
    <w:lvl w:ilvl="3" w:tplc="04020001">
      <w:start w:val="1"/>
      <w:numFmt w:val="bullet"/>
      <w:lvlText w:val=""/>
      <w:lvlJc w:val="left"/>
      <w:pPr>
        <w:ind w:left="3620" w:hanging="360"/>
      </w:pPr>
      <w:rPr>
        <w:rFonts w:ascii="Symbol" w:hAnsi="Symbol" w:hint="default"/>
      </w:rPr>
    </w:lvl>
    <w:lvl w:ilvl="4" w:tplc="04020003">
      <w:start w:val="1"/>
      <w:numFmt w:val="bullet"/>
      <w:lvlText w:val="o"/>
      <w:lvlJc w:val="left"/>
      <w:pPr>
        <w:ind w:left="4340" w:hanging="360"/>
      </w:pPr>
      <w:rPr>
        <w:rFonts w:ascii="Courier New" w:hAnsi="Courier New" w:cs="Courier New" w:hint="default"/>
      </w:rPr>
    </w:lvl>
    <w:lvl w:ilvl="5" w:tplc="04020005">
      <w:start w:val="1"/>
      <w:numFmt w:val="bullet"/>
      <w:lvlText w:val=""/>
      <w:lvlJc w:val="left"/>
      <w:pPr>
        <w:ind w:left="5060" w:hanging="360"/>
      </w:pPr>
      <w:rPr>
        <w:rFonts w:ascii="Wingdings" w:hAnsi="Wingdings" w:hint="default"/>
      </w:rPr>
    </w:lvl>
    <w:lvl w:ilvl="6" w:tplc="04020001">
      <w:start w:val="1"/>
      <w:numFmt w:val="bullet"/>
      <w:lvlText w:val=""/>
      <w:lvlJc w:val="left"/>
      <w:pPr>
        <w:ind w:left="5780" w:hanging="360"/>
      </w:pPr>
      <w:rPr>
        <w:rFonts w:ascii="Symbol" w:hAnsi="Symbol" w:hint="default"/>
      </w:rPr>
    </w:lvl>
    <w:lvl w:ilvl="7" w:tplc="04020003">
      <w:start w:val="1"/>
      <w:numFmt w:val="bullet"/>
      <w:lvlText w:val="o"/>
      <w:lvlJc w:val="left"/>
      <w:pPr>
        <w:ind w:left="6500" w:hanging="360"/>
      </w:pPr>
      <w:rPr>
        <w:rFonts w:ascii="Courier New" w:hAnsi="Courier New" w:cs="Courier New" w:hint="default"/>
      </w:rPr>
    </w:lvl>
    <w:lvl w:ilvl="8" w:tplc="04020005">
      <w:start w:val="1"/>
      <w:numFmt w:val="bullet"/>
      <w:lvlText w:val=""/>
      <w:lvlJc w:val="left"/>
      <w:pPr>
        <w:ind w:left="7220" w:hanging="360"/>
      </w:pPr>
      <w:rPr>
        <w:rFonts w:ascii="Wingdings" w:hAnsi="Wingdings" w:hint="default"/>
      </w:rPr>
    </w:lvl>
  </w:abstractNum>
  <w:abstractNum w:abstractNumId="4" w15:restartNumberingAfterBreak="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6F86400A"/>
    <w:multiLevelType w:val="hybridMultilevel"/>
    <w:tmpl w:val="6ECADEF0"/>
    <w:lvl w:ilvl="0" w:tplc="86B2F8CC">
      <w:numFmt w:val="bullet"/>
      <w:lvlText w:val="-"/>
      <w:lvlJc w:val="left"/>
      <w:pPr>
        <w:ind w:left="930" w:hanging="360"/>
      </w:pPr>
      <w:rPr>
        <w:rFonts w:ascii="Arial" w:eastAsia="Times New Roman" w:hAnsi="Arial" w:cs="Arial" w:hint="default"/>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6"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start w:val="1"/>
      <w:numFmt w:val="bullet"/>
      <w:lvlText w:val="o"/>
      <w:lvlJc w:val="left"/>
      <w:pPr>
        <w:ind w:left="1876" w:hanging="360"/>
      </w:pPr>
      <w:rPr>
        <w:rFonts w:ascii="Courier New" w:hAnsi="Courier New" w:cs="Courier New" w:hint="default"/>
      </w:rPr>
    </w:lvl>
    <w:lvl w:ilvl="2" w:tplc="04020005">
      <w:start w:val="1"/>
      <w:numFmt w:val="bullet"/>
      <w:lvlText w:val=""/>
      <w:lvlJc w:val="left"/>
      <w:pPr>
        <w:ind w:left="2596" w:hanging="360"/>
      </w:pPr>
      <w:rPr>
        <w:rFonts w:ascii="Wingdings" w:hAnsi="Wingdings" w:hint="default"/>
      </w:rPr>
    </w:lvl>
    <w:lvl w:ilvl="3" w:tplc="04020001">
      <w:start w:val="1"/>
      <w:numFmt w:val="bullet"/>
      <w:lvlText w:val=""/>
      <w:lvlJc w:val="left"/>
      <w:pPr>
        <w:ind w:left="3316" w:hanging="360"/>
      </w:pPr>
      <w:rPr>
        <w:rFonts w:ascii="Symbol" w:hAnsi="Symbol" w:hint="default"/>
      </w:rPr>
    </w:lvl>
    <w:lvl w:ilvl="4" w:tplc="04020003">
      <w:start w:val="1"/>
      <w:numFmt w:val="bullet"/>
      <w:lvlText w:val="o"/>
      <w:lvlJc w:val="left"/>
      <w:pPr>
        <w:ind w:left="4036" w:hanging="360"/>
      </w:pPr>
      <w:rPr>
        <w:rFonts w:ascii="Courier New" w:hAnsi="Courier New" w:cs="Courier New" w:hint="default"/>
      </w:rPr>
    </w:lvl>
    <w:lvl w:ilvl="5" w:tplc="04020005">
      <w:start w:val="1"/>
      <w:numFmt w:val="bullet"/>
      <w:lvlText w:val=""/>
      <w:lvlJc w:val="left"/>
      <w:pPr>
        <w:ind w:left="4756" w:hanging="360"/>
      </w:pPr>
      <w:rPr>
        <w:rFonts w:ascii="Wingdings" w:hAnsi="Wingdings" w:hint="default"/>
      </w:rPr>
    </w:lvl>
    <w:lvl w:ilvl="6" w:tplc="04020001">
      <w:start w:val="1"/>
      <w:numFmt w:val="bullet"/>
      <w:lvlText w:val=""/>
      <w:lvlJc w:val="left"/>
      <w:pPr>
        <w:ind w:left="5476" w:hanging="360"/>
      </w:pPr>
      <w:rPr>
        <w:rFonts w:ascii="Symbol" w:hAnsi="Symbol" w:hint="default"/>
      </w:rPr>
    </w:lvl>
    <w:lvl w:ilvl="7" w:tplc="04020003">
      <w:start w:val="1"/>
      <w:numFmt w:val="bullet"/>
      <w:lvlText w:val="o"/>
      <w:lvlJc w:val="left"/>
      <w:pPr>
        <w:ind w:left="6196" w:hanging="360"/>
      </w:pPr>
      <w:rPr>
        <w:rFonts w:ascii="Courier New" w:hAnsi="Courier New" w:cs="Courier New" w:hint="default"/>
      </w:rPr>
    </w:lvl>
    <w:lvl w:ilvl="8" w:tplc="04020005">
      <w:start w:val="1"/>
      <w:numFmt w:val="bullet"/>
      <w:lvlText w:val=""/>
      <w:lvlJc w:val="left"/>
      <w:pPr>
        <w:ind w:left="6916" w:hanging="360"/>
      </w:pPr>
      <w:rPr>
        <w:rFonts w:ascii="Wingdings" w:hAnsi="Wingdings" w:hint="default"/>
      </w:rPr>
    </w:lvl>
  </w:abstractNum>
  <w:abstractNum w:abstractNumId="8" w15:restartNumberingAfterBreak="0">
    <w:nsid w:val="79DB0E97"/>
    <w:multiLevelType w:val="hybridMultilevel"/>
    <w:tmpl w:val="93EAF43A"/>
    <w:lvl w:ilvl="0" w:tplc="B1C69A36">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4261"/>
    <w:rsid w:val="000B3940"/>
    <w:rsid w:val="000B4605"/>
    <w:rsid w:val="000F4E66"/>
    <w:rsid w:val="0011029E"/>
    <w:rsid w:val="001115FF"/>
    <w:rsid w:val="0011409F"/>
    <w:rsid w:val="001152C5"/>
    <w:rsid w:val="001316C5"/>
    <w:rsid w:val="0016750C"/>
    <w:rsid w:val="00176784"/>
    <w:rsid w:val="0018453F"/>
    <w:rsid w:val="001A3BD6"/>
    <w:rsid w:val="001F3207"/>
    <w:rsid w:val="00266C60"/>
    <w:rsid w:val="002C2F25"/>
    <w:rsid w:val="00317ABB"/>
    <w:rsid w:val="00372C6B"/>
    <w:rsid w:val="003755DE"/>
    <w:rsid w:val="0038418E"/>
    <w:rsid w:val="00385942"/>
    <w:rsid w:val="003D2FF8"/>
    <w:rsid w:val="003F0F82"/>
    <w:rsid w:val="004535C2"/>
    <w:rsid w:val="0045637F"/>
    <w:rsid w:val="004568A1"/>
    <w:rsid w:val="0048524D"/>
    <w:rsid w:val="00487B47"/>
    <w:rsid w:val="004E47BD"/>
    <w:rsid w:val="00535943"/>
    <w:rsid w:val="00583898"/>
    <w:rsid w:val="005C2E42"/>
    <w:rsid w:val="005D1BC2"/>
    <w:rsid w:val="005D43ED"/>
    <w:rsid w:val="006122E2"/>
    <w:rsid w:val="006673C4"/>
    <w:rsid w:val="006679F6"/>
    <w:rsid w:val="00675154"/>
    <w:rsid w:val="00685F2A"/>
    <w:rsid w:val="006B3E9E"/>
    <w:rsid w:val="006B6F91"/>
    <w:rsid w:val="0073619E"/>
    <w:rsid w:val="00786054"/>
    <w:rsid w:val="0078766B"/>
    <w:rsid w:val="007C02F3"/>
    <w:rsid w:val="008860A6"/>
    <w:rsid w:val="0089631D"/>
    <w:rsid w:val="008C6648"/>
    <w:rsid w:val="00973E96"/>
    <w:rsid w:val="00995FEB"/>
    <w:rsid w:val="009C3B37"/>
    <w:rsid w:val="009D7548"/>
    <w:rsid w:val="00A063EF"/>
    <w:rsid w:val="00A07CA0"/>
    <w:rsid w:val="00A636E9"/>
    <w:rsid w:val="00A817B7"/>
    <w:rsid w:val="00AB5E3B"/>
    <w:rsid w:val="00AE1853"/>
    <w:rsid w:val="00B7635C"/>
    <w:rsid w:val="00C004DB"/>
    <w:rsid w:val="00C02E66"/>
    <w:rsid w:val="00C20DB2"/>
    <w:rsid w:val="00C3252C"/>
    <w:rsid w:val="00C41084"/>
    <w:rsid w:val="00C85EBC"/>
    <w:rsid w:val="00C87708"/>
    <w:rsid w:val="00C94F9C"/>
    <w:rsid w:val="00CB1D8A"/>
    <w:rsid w:val="00CD0DEE"/>
    <w:rsid w:val="00D11DAC"/>
    <w:rsid w:val="00D72A88"/>
    <w:rsid w:val="00D846B5"/>
    <w:rsid w:val="00DC4F46"/>
    <w:rsid w:val="00DD2955"/>
    <w:rsid w:val="00DE619C"/>
    <w:rsid w:val="00DF4ABA"/>
    <w:rsid w:val="00DF4E7E"/>
    <w:rsid w:val="00DF51FC"/>
    <w:rsid w:val="00E95DDA"/>
    <w:rsid w:val="00F01D37"/>
    <w:rsid w:val="00FB33E5"/>
    <w:rsid w:val="00FD6A35"/>
    <w:rsid w:val="045DE155"/>
    <w:rsid w:val="457E29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AC93"/>
  <w15:docId w15:val="{AB1F45D0-F35A-44BB-AB97-F25E2F7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link w:val="ac"/>
    <w:qFormat/>
    <w:rsid w:val="00DC4F46"/>
    <w:pPr>
      <w:ind w:left="720" w:firstLine="709"/>
      <w:contextualSpacing/>
      <w:jc w:val="both"/>
    </w:pPr>
    <w:rPr>
      <w:rFonts w:eastAsiaTheme="minorHAnsi" w:cstheme="minorBidi"/>
      <w:szCs w:val="22"/>
      <w:lang w:val="bg-BG" w:eastAsia="en-US"/>
    </w:rPr>
  </w:style>
  <w:style w:type="character" w:customStyle="1" w:styleId="ac">
    <w:name w:val="Списък на абзаци Знак"/>
    <w:link w:val="ab"/>
    <w:locked/>
    <w:rsid w:val="00DC4F46"/>
    <w:rPr>
      <w:rFonts w:ascii="Times New Roman" w:hAnsi="Times New Roman"/>
      <w:sz w:val="24"/>
    </w:rPr>
  </w:style>
  <w:style w:type="paragraph" w:customStyle="1" w:styleId="Tabletext">
    <w:name w:val="Table text"/>
    <w:basedOn w:val="a"/>
    <w:link w:val="TabletextChar"/>
    <w:uiPriority w:val="99"/>
    <w:rsid w:val="00DC4F46"/>
    <w:pPr>
      <w:spacing w:before="120"/>
      <w:jc w:val="both"/>
    </w:pPr>
    <w:rPr>
      <w:szCs w:val="24"/>
      <w:lang w:val="x-none" w:eastAsia="x-none"/>
    </w:rPr>
  </w:style>
  <w:style w:type="character" w:customStyle="1" w:styleId="TabletextChar">
    <w:name w:val="Table text Char"/>
    <w:link w:val="Tabletext"/>
    <w:uiPriority w:val="99"/>
    <w:locked/>
    <w:rsid w:val="00DC4F46"/>
    <w:rPr>
      <w:rFonts w:ascii="Times New Roman" w:eastAsia="Times New Roman" w:hAnsi="Times New Roman" w:cs="Times New Roman"/>
      <w:sz w:val="24"/>
      <w:szCs w:val="24"/>
      <w:lang w:val="x-none" w:eastAsia="x-none"/>
    </w:rPr>
  </w:style>
  <w:style w:type="paragraph" w:customStyle="1" w:styleId="ad">
    <w:name w:val="Основной текст"/>
    <w:basedOn w:val="a"/>
    <w:rsid w:val="00DC4F46"/>
    <w:pPr>
      <w:widowControl w:val="0"/>
      <w:shd w:val="clear" w:color="auto" w:fill="FFFFFF"/>
      <w:spacing w:after="960" w:line="446" w:lineRule="exact"/>
    </w:pPr>
    <w:rPr>
      <w:sz w:val="23"/>
      <w:szCs w:val="23"/>
      <w:lang w:val="en-US" w:eastAsia="en-US"/>
    </w:rPr>
  </w:style>
  <w:style w:type="character" w:customStyle="1" w:styleId="45">
    <w:name w:val="Заголовок №4 (5)"/>
    <w:rsid w:val="00DC4F46"/>
    <w:rPr>
      <w:rFonts w:ascii="Times New Roman" w:eastAsia="Times New Roman" w:hAnsi="Times New Roman" w:cs="Times New Roman"/>
      <w:b/>
      <w:bCs/>
      <w:i w:val="0"/>
      <w:iCs w:val="0"/>
      <w:smallCaps w:val="0"/>
      <w:strike w:val="0"/>
      <w:color w:val="000000"/>
      <w:spacing w:val="0"/>
      <w:w w:val="100"/>
      <w:position w:val="0"/>
      <w:sz w:val="28"/>
      <w:szCs w:val="28"/>
      <w:u w:val="single"/>
      <w:lang w:val="bg-BG" w:eastAsia="bg-BG" w:bidi="bg-BG"/>
    </w:rPr>
  </w:style>
  <w:style w:type="paragraph" w:customStyle="1" w:styleId="Style">
    <w:name w:val="Style"/>
    <w:uiPriority w:val="99"/>
    <w:rsid w:val="00DC4F46"/>
    <w:pPr>
      <w:widowControl w:val="0"/>
      <w:spacing w:after="0" w:line="240" w:lineRule="auto"/>
    </w:pPr>
    <w:rPr>
      <w:rFonts w:ascii="Arial Unicode MS" w:eastAsia="Calibri" w:hAnsi="Arial Unicode MS" w:cs="Times New Roman"/>
      <w:spacing w:val="-1"/>
      <w:kern w:val="65535"/>
      <w:positio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1539">
      <w:bodyDiv w:val="1"/>
      <w:marLeft w:val="0"/>
      <w:marRight w:val="0"/>
      <w:marTop w:val="0"/>
      <w:marBottom w:val="0"/>
      <w:divBdr>
        <w:top w:val="none" w:sz="0" w:space="0" w:color="auto"/>
        <w:left w:val="none" w:sz="0" w:space="0" w:color="auto"/>
        <w:bottom w:val="none" w:sz="0" w:space="0" w:color="auto"/>
        <w:right w:val="none" w:sz="0" w:space="0" w:color="auto"/>
      </w:divBdr>
    </w:div>
    <w:div w:id="8322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nsk.mrrb.government.bg/ui/Home.aspx?0ZKDwUgLUJpDpU6ocaJJFwuOmO6Y83hrlid6iFJowjU%3d" TargetMode="External"/><Relationship Id="rId4" Type="http://schemas.openxmlformats.org/officeDocument/2006/relationships/settings" Target="settings.xml"/><Relationship Id="rId9" Type="http://schemas.openxmlformats.org/officeDocument/2006/relationships/hyperlink" Target="http://rechnik.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9B67-E3CF-4385-88D7-D1DF8F1B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1911</Words>
  <Characters>10894</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ALBENA DOBREVA</cp:lastModifiedBy>
  <cp:revision>61</cp:revision>
  <cp:lastPrinted>2019-06-26T08:19:00Z</cp:lastPrinted>
  <dcterms:created xsi:type="dcterms:W3CDTF">2016-02-10T17:32:00Z</dcterms:created>
  <dcterms:modified xsi:type="dcterms:W3CDTF">2019-06-26T08:19:00Z</dcterms:modified>
</cp:coreProperties>
</file>